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02C" w:rsidRPr="005C402C" w:rsidRDefault="005C402C" w:rsidP="005C402C">
      <w:pPr>
        <w:jc w:val="center"/>
        <w:rPr>
          <w:rFonts w:ascii="黑体" w:eastAsia="黑体"/>
          <w:sz w:val="32"/>
          <w:szCs w:val="32"/>
        </w:rPr>
      </w:pPr>
      <w:r w:rsidRPr="005C402C">
        <w:rPr>
          <w:rFonts w:ascii="黑体" w:eastAsia="黑体" w:hint="eastAsia"/>
          <w:sz w:val="32"/>
          <w:szCs w:val="32"/>
        </w:rPr>
        <w:t>重庆农村商业银行关联交易管理办法</w:t>
      </w:r>
    </w:p>
    <w:p w:rsidR="005C402C" w:rsidRDefault="005C402C" w:rsidP="005C402C">
      <w:pPr>
        <w:pStyle w:val="1"/>
        <w:numPr>
          <w:ilvl w:val="0"/>
          <w:numId w:val="2"/>
        </w:numPr>
        <w:tabs>
          <w:tab w:val="clear" w:pos="1155"/>
          <w:tab w:val="left" w:pos="1260"/>
        </w:tabs>
        <w:spacing w:beforeLines="100" w:before="312" w:afterLines="100" w:after="312" w:line="360" w:lineRule="auto"/>
        <w:jc w:val="center"/>
        <w:rPr>
          <w:rFonts w:ascii="仿宋_GB2312" w:eastAsia="仿宋_GB2312"/>
          <w:sz w:val="30"/>
          <w:szCs w:val="30"/>
          <w:lang w:eastAsia="zh-CN"/>
        </w:rPr>
      </w:pPr>
      <w:bookmarkStart w:id="0" w:name="_Toc151721507"/>
      <w:bookmarkStart w:id="1" w:name="_Toc151971478"/>
      <w:bookmarkStart w:id="2" w:name="_Toc162065351"/>
      <w:bookmarkStart w:id="3" w:name="_Toc189470274"/>
      <w:bookmarkStart w:id="4" w:name="_Toc220147676"/>
      <w:bookmarkStart w:id="5" w:name="_Toc20055687"/>
      <w:r>
        <w:rPr>
          <w:rFonts w:ascii="仿宋_GB2312" w:eastAsia="仿宋_GB2312" w:hint="eastAsia"/>
          <w:sz w:val="30"/>
          <w:szCs w:val="30"/>
          <w:lang w:eastAsia="zh-CN"/>
        </w:rPr>
        <w:t>总则</w:t>
      </w:r>
      <w:bookmarkEnd w:id="0"/>
      <w:bookmarkEnd w:id="1"/>
      <w:bookmarkEnd w:id="2"/>
      <w:bookmarkEnd w:id="3"/>
      <w:bookmarkEnd w:id="4"/>
      <w:bookmarkEnd w:id="5"/>
    </w:p>
    <w:p w:rsidR="005C402C" w:rsidRDefault="005C402C" w:rsidP="005C402C">
      <w:pPr>
        <w:pStyle w:val="ae"/>
        <w:widowControl w:val="0"/>
        <w:numPr>
          <w:ilvl w:val="0"/>
          <w:numId w:val="3"/>
        </w:numPr>
        <w:tabs>
          <w:tab w:val="left" w:pos="1701"/>
          <w:tab w:val="left" w:pos="4224"/>
        </w:tabs>
        <w:adjustRightInd w:val="0"/>
        <w:snapToGrid w:val="0"/>
        <w:spacing w:before="0" w:after="0" w:line="360" w:lineRule="auto"/>
        <w:ind w:left="0" w:firstLine="510"/>
        <w:jc w:val="both"/>
        <w:rPr>
          <w:rFonts w:ascii="仿宋_GB2312" w:eastAsia="仿宋_GB2312" w:hAnsi="宋体"/>
          <w:color w:val="auto"/>
          <w:sz w:val="30"/>
          <w:szCs w:val="30"/>
        </w:rPr>
      </w:pPr>
      <w:r>
        <w:rPr>
          <w:rFonts w:ascii="仿宋_GB2312" w:eastAsia="仿宋_GB2312" w:hAnsi="宋体" w:hint="eastAsia"/>
          <w:color w:val="auto"/>
          <w:sz w:val="30"/>
          <w:szCs w:val="30"/>
        </w:rPr>
        <w:t>为</w:t>
      </w:r>
      <w:r>
        <w:rPr>
          <w:rFonts w:ascii="仿宋_GB2312" w:eastAsia="仿宋_GB2312" w:hAnsi="宋体"/>
          <w:color w:val="auto"/>
          <w:sz w:val="30"/>
          <w:szCs w:val="30"/>
        </w:rPr>
        <w:t>规范重庆农村商业银行</w:t>
      </w:r>
      <w:r>
        <w:rPr>
          <w:rFonts w:ascii="仿宋_GB2312" w:eastAsia="仿宋_GB2312" w:hAnsi="宋体" w:hint="eastAsia"/>
          <w:color w:val="auto"/>
          <w:sz w:val="30"/>
          <w:szCs w:val="30"/>
        </w:rPr>
        <w:t>股份</w:t>
      </w:r>
      <w:r>
        <w:rPr>
          <w:rFonts w:ascii="仿宋_GB2312" w:eastAsia="仿宋_GB2312" w:hAnsi="宋体"/>
          <w:color w:val="auto"/>
          <w:sz w:val="30"/>
          <w:szCs w:val="30"/>
        </w:rPr>
        <w:t>有限公司</w:t>
      </w:r>
      <w:r>
        <w:rPr>
          <w:rFonts w:ascii="仿宋_GB2312" w:eastAsia="仿宋_GB2312" w:hAnsi="宋体" w:hint="eastAsia"/>
          <w:color w:val="auto"/>
          <w:sz w:val="30"/>
          <w:szCs w:val="30"/>
        </w:rPr>
        <w:t>（以下简称本行）</w:t>
      </w:r>
      <w:r>
        <w:rPr>
          <w:rFonts w:ascii="仿宋_GB2312" w:eastAsia="仿宋_GB2312" w:hAnsi="宋体"/>
          <w:color w:val="auto"/>
          <w:sz w:val="30"/>
          <w:szCs w:val="30"/>
        </w:rPr>
        <w:t>关联交易，</w:t>
      </w:r>
      <w:r>
        <w:rPr>
          <w:rFonts w:ascii="仿宋_GB2312" w:eastAsia="仿宋_GB2312" w:hAnsi="宋体" w:hint="eastAsia"/>
          <w:color w:val="auto"/>
          <w:sz w:val="30"/>
          <w:szCs w:val="30"/>
        </w:rPr>
        <w:t>有效</w:t>
      </w:r>
      <w:r>
        <w:rPr>
          <w:rFonts w:ascii="仿宋_GB2312" w:eastAsia="仿宋_GB2312" w:hAnsi="宋体"/>
          <w:color w:val="auto"/>
          <w:sz w:val="30"/>
          <w:szCs w:val="30"/>
        </w:rPr>
        <w:t>控制关联交易风险，</w:t>
      </w:r>
      <w:r>
        <w:rPr>
          <w:rFonts w:ascii="仿宋_GB2312" w:eastAsia="仿宋_GB2312" w:hAnsi="宋体" w:hint="eastAsia"/>
          <w:color w:val="auto"/>
          <w:sz w:val="30"/>
          <w:szCs w:val="30"/>
        </w:rPr>
        <w:t>在确保关联交易行为不损害全体股东及客户的利益同时，</w:t>
      </w:r>
      <w:r>
        <w:rPr>
          <w:rFonts w:ascii="仿宋_GB2312" w:eastAsia="仿宋_GB2312" w:hAnsi="宋体"/>
          <w:color w:val="auto"/>
          <w:sz w:val="30"/>
          <w:szCs w:val="30"/>
        </w:rPr>
        <w:t>发挥关联交易优势和资源互补效应，提高市场竞争力，</w:t>
      </w:r>
      <w:r>
        <w:rPr>
          <w:rFonts w:ascii="仿宋_GB2312" w:eastAsia="仿宋_GB2312" w:hAnsi="宋体" w:hint="eastAsia"/>
          <w:color w:val="auto"/>
          <w:sz w:val="30"/>
          <w:szCs w:val="30"/>
        </w:rPr>
        <w:t>制定</w:t>
      </w:r>
      <w:r>
        <w:rPr>
          <w:rFonts w:ascii="仿宋_GB2312" w:eastAsia="仿宋_GB2312" w:hAnsi="宋体"/>
          <w:color w:val="auto"/>
          <w:sz w:val="30"/>
          <w:szCs w:val="30"/>
        </w:rPr>
        <w:t>本办法。</w:t>
      </w:r>
    </w:p>
    <w:p w:rsidR="005C402C" w:rsidRDefault="005C402C" w:rsidP="005C402C">
      <w:pPr>
        <w:pStyle w:val="ae"/>
        <w:widowControl w:val="0"/>
        <w:numPr>
          <w:ilvl w:val="0"/>
          <w:numId w:val="3"/>
        </w:numPr>
        <w:tabs>
          <w:tab w:val="left" w:pos="1701"/>
          <w:tab w:val="left" w:pos="4224"/>
        </w:tabs>
        <w:adjustRightInd w:val="0"/>
        <w:snapToGrid w:val="0"/>
        <w:spacing w:before="0" w:after="0" w:line="360" w:lineRule="auto"/>
        <w:ind w:left="0" w:firstLine="510"/>
        <w:jc w:val="both"/>
        <w:rPr>
          <w:rFonts w:ascii="仿宋_GB2312" w:eastAsia="仿宋_GB2312" w:hAnsi="宋体"/>
          <w:color w:val="auto"/>
          <w:sz w:val="30"/>
          <w:szCs w:val="30"/>
        </w:rPr>
      </w:pPr>
      <w:r>
        <w:rPr>
          <w:rFonts w:ascii="仿宋_GB2312" w:eastAsia="仿宋_GB2312" w:hAnsi="宋体" w:hint="eastAsia"/>
          <w:color w:val="auto"/>
          <w:sz w:val="30"/>
          <w:szCs w:val="30"/>
        </w:rPr>
        <w:t>本办法</w:t>
      </w:r>
      <w:r>
        <w:rPr>
          <w:rFonts w:ascii="仿宋_GB2312" w:eastAsia="仿宋_GB2312" w:hAnsi="宋体"/>
          <w:color w:val="auto"/>
          <w:sz w:val="30"/>
          <w:szCs w:val="30"/>
        </w:rPr>
        <w:t>制定依据</w:t>
      </w:r>
      <w:r>
        <w:rPr>
          <w:rFonts w:ascii="仿宋_GB2312" w:eastAsia="仿宋_GB2312" w:hAnsi="宋体" w:hint="eastAsia"/>
          <w:color w:val="auto"/>
          <w:sz w:val="30"/>
          <w:szCs w:val="30"/>
        </w:rPr>
        <w:t>包括《中华人民共和国公司法》、《中华人民共和国商业银行法》、中华人民共和国财政部《企业会计准则第36号－关联方披露》、中国银行保险监督管理委员会（以下简称“银保监会”）《商业银行与内部人和股东关联交易管理办法》、《商业银行股权管理暂行办法》、中国证券监督管理委员会（以下简称“证监会”）《上市公司信息披露管理办法》和《公开发行证券的公司信息披露编报规则系26号-商业银行信息披露特别规定》、《上海证券交易所有限公司股票上市规则》、《上海证券交易所上市公司关联交易实施指引》、《香港联合交易所有限公司证券上市规则》等有关</w:t>
      </w:r>
      <w:r>
        <w:rPr>
          <w:rFonts w:ascii="仿宋_GB2312" w:eastAsia="仿宋_GB2312" w:hAnsi="宋体"/>
          <w:color w:val="auto"/>
          <w:sz w:val="30"/>
          <w:szCs w:val="30"/>
        </w:rPr>
        <w:t>法律、</w:t>
      </w:r>
      <w:r>
        <w:rPr>
          <w:rFonts w:ascii="仿宋_GB2312" w:eastAsia="仿宋_GB2312" w:hAnsi="宋体" w:hint="eastAsia"/>
          <w:color w:val="auto"/>
          <w:sz w:val="30"/>
          <w:szCs w:val="30"/>
        </w:rPr>
        <w:t>行政</w:t>
      </w:r>
      <w:r>
        <w:rPr>
          <w:rFonts w:ascii="仿宋_GB2312" w:eastAsia="仿宋_GB2312" w:hAnsi="宋体"/>
          <w:color w:val="auto"/>
          <w:sz w:val="30"/>
          <w:szCs w:val="30"/>
        </w:rPr>
        <w:t>法规、部门规章</w:t>
      </w:r>
      <w:r>
        <w:rPr>
          <w:rFonts w:ascii="仿宋_GB2312" w:eastAsia="仿宋_GB2312" w:hAnsi="宋体" w:hint="eastAsia"/>
          <w:color w:val="auto"/>
          <w:sz w:val="30"/>
          <w:szCs w:val="30"/>
        </w:rPr>
        <w:t>、</w:t>
      </w:r>
      <w:r>
        <w:rPr>
          <w:rFonts w:ascii="仿宋_GB2312" w:eastAsia="仿宋_GB2312" w:hAnsi="宋体"/>
          <w:color w:val="auto"/>
          <w:sz w:val="30"/>
          <w:szCs w:val="30"/>
        </w:rPr>
        <w:t>监管要求</w:t>
      </w:r>
      <w:r>
        <w:rPr>
          <w:rFonts w:ascii="仿宋_GB2312" w:eastAsia="仿宋_GB2312" w:hAnsi="宋体" w:hint="eastAsia"/>
          <w:color w:val="auto"/>
          <w:sz w:val="30"/>
          <w:szCs w:val="30"/>
        </w:rPr>
        <w:t>及本行章程</w:t>
      </w:r>
      <w:r>
        <w:rPr>
          <w:rFonts w:ascii="仿宋_GB2312" w:eastAsia="仿宋_GB2312" w:hAnsi="宋体"/>
          <w:color w:val="auto"/>
          <w:sz w:val="30"/>
          <w:szCs w:val="30"/>
        </w:rPr>
        <w:t>。</w:t>
      </w:r>
    </w:p>
    <w:p w:rsidR="005C402C" w:rsidRDefault="005C402C" w:rsidP="005C402C">
      <w:pPr>
        <w:pStyle w:val="ae"/>
        <w:widowControl w:val="0"/>
        <w:tabs>
          <w:tab w:val="left" w:pos="1701"/>
        </w:tabs>
        <w:adjustRightInd w:val="0"/>
        <w:snapToGrid w:val="0"/>
        <w:spacing w:before="0" w:after="0" w:line="360" w:lineRule="auto"/>
        <w:ind w:firstLineChars="200" w:firstLine="600"/>
        <w:jc w:val="both"/>
        <w:rPr>
          <w:rFonts w:ascii="仿宋_GB2312" w:eastAsia="仿宋_GB2312" w:hAnsi="宋体"/>
          <w:color w:val="auto"/>
          <w:sz w:val="30"/>
          <w:szCs w:val="30"/>
        </w:rPr>
      </w:pPr>
      <w:r>
        <w:rPr>
          <w:rFonts w:ascii="仿宋_GB2312" w:eastAsia="仿宋_GB2312" w:hAnsi="宋体" w:hint="eastAsia"/>
          <w:color w:val="auto"/>
          <w:sz w:val="30"/>
          <w:szCs w:val="30"/>
        </w:rPr>
        <w:t>本办法所使用的术语,除文中另有说明外，与上述法律、行政法规、部门规章、监管要求及本行章程相关术语含义相同。</w:t>
      </w:r>
    </w:p>
    <w:p w:rsidR="005C402C" w:rsidRDefault="005C402C" w:rsidP="005C402C">
      <w:pPr>
        <w:pStyle w:val="ae"/>
        <w:widowControl w:val="0"/>
        <w:numPr>
          <w:ilvl w:val="0"/>
          <w:numId w:val="3"/>
        </w:numPr>
        <w:tabs>
          <w:tab w:val="left" w:pos="1701"/>
          <w:tab w:val="left" w:pos="4224"/>
        </w:tabs>
        <w:adjustRightInd w:val="0"/>
        <w:snapToGrid w:val="0"/>
        <w:spacing w:before="0" w:after="0" w:line="360" w:lineRule="auto"/>
        <w:ind w:left="0" w:firstLine="567"/>
        <w:jc w:val="both"/>
        <w:rPr>
          <w:rFonts w:ascii="仿宋_GB2312" w:eastAsia="仿宋_GB2312" w:hAnsi="宋体"/>
          <w:color w:val="auto"/>
          <w:sz w:val="30"/>
          <w:szCs w:val="30"/>
        </w:rPr>
      </w:pPr>
      <w:r>
        <w:rPr>
          <w:rFonts w:ascii="仿宋_GB2312" w:eastAsia="仿宋_GB2312" w:hAnsi="宋体" w:hint="eastAsia"/>
          <w:color w:val="auto"/>
          <w:sz w:val="30"/>
          <w:szCs w:val="30"/>
        </w:rPr>
        <w:t>本行关联交易应当遵循以下原则：</w:t>
      </w:r>
    </w:p>
    <w:p w:rsidR="005C402C" w:rsidRDefault="005C402C" w:rsidP="005C402C">
      <w:pPr>
        <w:pStyle w:val="ae"/>
        <w:widowControl w:val="0"/>
        <w:numPr>
          <w:ilvl w:val="0"/>
          <w:numId w:val="4"/>
        </w:numPr>
        <w:adjustRightInd w:val="0"/>
        <w:snapToGrid w:val="0"/>
        <w:spacing w:before="0" w:after="0" w:line="360" w:lineRule="auto"/>
        <w:ind w:firstLine="665"/>
        <w:jc w:val="both"/>
        <w:rPr>
          <w:rFonts w:ascii="仿宋_GB2312" w:eastAsia="仿宋_GB2312" w:hAnsi="宋体"/>
          <w:color w:val="auto"/>
          <w:sz w:val="30"/>
          <w:szCs w:val="30"/>
        </w:rPr>
      </w:pPr>
      <w:r>
        <w:rPr>
          <w:rFonts w:ascii="仿宋_GB2312" w:eastAsia="仿宋_GB2312" w:hAnsi="宋体" w:hint="eastAsia"/>
          <w:color w:val="auto"/>
          <w:sz w:val="30"/>
          <w:szCs w:val="30"/>
        </w:rPr>
        <w:t>依法合规原则。关联</w:t>
      </w:r>
      <w:r>
        <w:rPr>
          <w:rFonts w:ascii="仿宋_GB2312" w:eastAsia="仿宋_GB2312" w:hAnsi="宋体"/>
          <w:color w:val="auto"/>
          <w:sz w:val="30"/>
          <w:szCs w:val="30"/>
        </w:rPr>
        <w:t>交易</w:t>
      </w:r>
      <w:r>
        <w:rPr>
          <w:rFonts w:ascii="仿宋_GB2312" w:eastAsia="仿宋_GB2312" w:hAnsi="宋体" w:hint="eastAsia"/>
          <w:color w:val="auto"/>
          <w:sz w:val="30"/>
          <w:szCs w:val="30"/>
        </w:rPr>
        <w:t>遵守法律、</w:t>
      </w:r>
      <w:r>
        <w:rPr>
          <w:rFonts w:ascii="仿宋_GB2312" w:eastAsia="仿宋_GB2312" w:hAnsi="宋体"/>
          <w:color w:val="auto"/>
          <w:sz w:val="30"/>
          <w:szCs w:val="30"/>
        </w:rPr>
        <w:t>行政法规、部门规章及监管要求</w:t>
      </w:r>
      <w:r>
        <w:rPr>
          <w:rFonts w:ascii="仿宋_GB2312" w:eastAsia="仿宋_GB2312" w:hAnsi="宋体" w:hint="eastAsia"/>
          <w:color w:val="auto"/>
          <w:sz w:val="30"/>
          <w:szCs w:val="30"/>
        </w:rPr>
        <w:t>。</w:t>
      </w:r>
    </w:p>
    <w:p w:rsidR="005C402C" w:rsidRDefault="005C402C" w:rsidP="005C402C">
      <w:pPr>
        <w:pStyle w:val="ae"/>
        <w:widowControl w:val="0"/>
        <w:numPr>
          <w:ilvl w:val="0"/>
          <w:numId w:val="4"/>
        </w:numPr>
        <w:adjustRightInd w:val="0"/>
        <w:snapToGrid w:val="0"/>
        <w:spacing w:before="0" w:after="0" w:line="360" w:lineRule="auto"/>
        <w:ind w:firstLine="665"/>
        <w:jc w:val="both"/>
        <w:rPr>
          <w:rFonts w:ascii="仿宋_GB2312" w:eastAsia="仿宋_GB2312" w:hAnsi="宋体"/>
          <w:color w:val="auto"/>
          <w:sz w:val="30"/>
          <w:szCs w:val="30"/>
        </w:rPr>
      </w:pPr>
      <w:r>
        <w:rPr>
          <w:rFonts w:ascii="仿宋_GB2312" w:eastAsia="仿宋_GB2312" w:hAnsi="宋体" w:hint="eastAsia"/>
          <w:color w:val="auto"/>
          <w:sz w:val="30"/>
          <w:szCs w:val="30"/>
        </w:rPr>
        <w:t>诚实信用原则。关联交易在追求本行利益的同时不</w:t>
      </w:r>
      <w:r>
        <w:rPr>
          <w:rFonts w:ascii="仿宋_GB2312" w:eastAsia="仿宋_GB2312" w:hAnsi="宋体" w:hint="eastAsia"/>
          <w:color w:val="auto"/>
          <w:sz w:val="30"/>
          <w:szCs w:val="30"/>
        </w:rPr>
        <w:lastRenderedPageBreak/>
        <w:t>得损害股东和相关利益</w:t>
      </w:r>
      <w:r>
        <w:rPr>
          <w:rFonts w:ascii="仿宋_GB2312" w:eastAsia="仿宋_GB2312" w:hAnsi="宋体"/>
          <w:color w:val="auto"/>
          <w:sz w:val="30"/>
          <w:szCs w:val="30"/>
        </w:rPr>
        <w:t>人的合法权益</w:t>
      </w:r>
      <w:r>
        <w:rPr>
          <w:rFonts w:ascii="仿宋_GB2312" w:eastAsia="仿宋_GB2312" w:hAnsi="宋体" w:hint="eastAsia"/>
          <w:color w:val="auto"/>
          <w:sz w:val="30"/>
          <w:szCs w:val="30"/>
        </w:rPr>
        <w:t>。</w:t>
      </w:r>
    </w:p>
    <w:p w:rsidR="005C402C" w:rsidRDefault="005C402C" w:rsidP="005C402C">
      <w:pPr>
        <w:pStyle w:val="ae"/>
        <w:widowControl w:val="0"/>
        <w:numPr>
          <w:ilvl w:val="0"/>
          <w:numId w:val="4"/>
        </w:numPr>
        <w:adjustRightInd w:val="0"/>
        <w:snapToGrid w:val="0"/>
        <w:spacing w:before="0" w:after="0" w:line="360" w:lineRule="auto"/>
        <w:ind w:firstLine="665"/>
        <w:jc w:val="both"/>
        <w:rPr>
          <w:rFonts w:ascii="仿宋_GB2312" w:eastAsia="仿宋_GB2312" w:hAnsi="宋体"/>
          <w:color w:val="auto"/>
          <w:sz w:val="30"/>
          <w:szCs w:val="30"/>
        </w:rPr>
      </w:pPr>
      <w:r>
        <w:rPr>
          <w:rFonts w:ascii="仿宋_GB2312" w:eastAsia="仿宋_GB2312" w:hAnsi="宋体" w:hint="eastAsia"/>
          <w:color w:val="auto"/>
          <w:sz w:val="30"/>
          <w:szCs w:val="30"/>
        </w:rPr>
        <w:t>公允交易原则。关联交易应当按照商业原则，以不优于对非关联方同类交易的条件进行。</w:t>
      </w:r>
    </w:p>
    <w:p w:rsidR="005C402C" w:rsidRDefault="005C402C" w:rsidP="005C402C">
      <w:pPr>
        <w:pStyle w:val="ae"/>
        <w:widowControl w:val="0"/>
        <w:numPr>
          <w:ilvl w:val="0"/>
          <w:numId w:val="4"/>
        </w:numPr>
        <w:adjustRightInd w:val="0"/>
        <w:snapToGrid w:val="0"/>
        <w:spacing w:before="0" w:after="0" w:line="360" w:lineRule="auto"/>
        <w:ind w:firstLine="665"/>
        <w:jc w:val="both"/>
        <w:rPr>
          <w:rFonts w:ascii="仿宋_GB2312" w:eastAsia="仿宋_GB2312" w:hAnsi="宋体"/>
          <w:color w:val="auto"/>
          <w:sz w:val="30"/>
          <w:szCs w:val="30"/>
        </w:rPr>
      </w:pPr>
      <w:r>
        <w:rPr>
          <w:rFonts w:ascii="仿宋_GB2312" w:eastAsia="仿宋_GB2312" w:hAnsi="宋体" w:hint="eastAsia"/>
          <w:color w:val="auto"/>
          <w:sz w:val="30"/>
          <w:szCs w:val="30"/>
        </w:rPr>
        <w:t>回避原则。关联方应在就涉及关联方的交易进行决策时回避。</w:t>
      </w:r>
    </w:p>
    <w:p w:rsidR="005C402C" w:rsidRDefault="005C402C" w:rsidP="005C402C">
      <w:pPr>
        <w:pStyle w:val="ae"/>
        <w:widowControl w:val="0"/>
        <w:numPr>
          <w:ilvl w:val="0"/>
          <w:numId w:val="3"/>
        </w:numPr>
        <w:tabs>
          <w:tab w:val="left" w:pos="1701"/>
          <w:tab w:val="left" w:pos="4224"/>
        </w:tabs>
        <w:adjustRightInd w:val="0"/>
        <w:snapToGrid w:val="0"/>
        <w:spacing w:before="0" w:after="0" w:line="360" w:lineRule="auto"/>
        <w:ind w:left="0" w:firstLine="567"/>
        <w:jc w:val="both"/>
        <w:rPr>
          <w:rFonts w:ascii="仿宋_GB2312" w:eastAsia="仿宋_GB2312" w:hAnsi="宋体"/>
          <w:color w:val="auto"/>
          <w:sz w:val="30"/>
          <w:szCs w:val="30"/>
        </w:rPr>
      </w:pPr>
      <w:r>
        <w:rPr>
          <w:rFonts w:ascii="仿宋_GB2312" w:eastAsia="仿宋_GB2312" w:hAnsi="宋体" w:hint="eastAsia"/>
          <w:color w:val="auto"/>
          <w:sz w:val="30"/>
          <w:szCs w:val="30"/>
        </w:rPr>
        <w:t>本行对关联方及</w:t>
      </w:r>
      <w:r>
        <w:rPr>
          <w:rFonts w:ascii="仿宋_GB2312" w:eastAsia="仿宋_GB2312" w:hAnsi="宋体"/>
          <w:color w:val="auto"/>
          <w:sz w:val="30"/>
          <w:szCs w:val="30"/>
        </w:rPr>
        <w:t>关联交易</w:t>
      </w:r>
      <w:r>
        <w:rPr>
          <w:rFonts w:ascii="仿宋_GB2312" w:eastAsia="仿宋_GB2312" w:hAnsi="宋体" w:hint="eastAsia"/>
          <w:color w:val="auto"/>
          <w:sz w:val="30"/>
          <w:szCs w:val="30"/>
        </w:rPr>
        <w:t>实行分类管理，分类确认银保监会</w:t>
      </w:r>
      <w:r>
        <w:rPr>
          <w:rFonts w:ascii="仿宋_GB2312" w:eastAsia="仿宋_GB2312" w:hAnsi="宋体"/>
          <w:color w:val="auto"/>
          <w:sz w:val="30"/>
          <w:szCs w:val="30"/>
        </w:rPr>
        <w:t>、证监会及</w:t>
      </w:r>
      <w:r>
        <w:rPr>
          <w:rFonts w:ascii="仿宋_GB2312" w:eastAsia="仿宋_GB2312" w:hAnsi="宋体" w:hint="eastAsia"/>
          <w:color w:val="auto"/>
          <w:sz w:val="30"/>
          <w:szCs w:val="30"/>
        </w:rPr>
        <w:t>上海证券交易所（以下</w:t>
      </w:r>
      <w:r>
        <w:rPr>
          <w:rFonts w:ascii="仿宋_GB2312" w:eastAsia="仿宋_GB2312" w:hAnsi="宋体"/>
          <w:color w:val="auto"/>
          <w:sz w:val="30"/>
          <w:szCs w:val="30"/>
        </w:rPr>
        <w:t>简称</w:t>
      </w:r>
      <w:r>
        <w:rPr>
          <w:rFonts w:ascii="仿宋_GB2312" w:eastAsia="仿宋_GB2312" w:hAnsi="宋体"/>
          <w:color w:val="auto"/>
          <w:sz w:val="30"/>
          <w:szCs w:val="30"/>
        </w:rPr>
        <w:t>“</w:t>
      </w:r>
      <w:r>
        <w:rPr>
          <w:rFonts w:ascii="仿宋_GB2312" w:eastAsia="仿宋_GB2312" w:hAnsi="宋体" w:hint="eastAsia"/>
          <w:color w:val="auto"/>
          <w:sz w:val="30"/>
          <w:szCs w:val="30"/>
        </w:rPr>
        <w:t>上交所</w:t>
      </w:r>
      <w:r>
        <w:rPr>
          <w:rFonts w:ascii="仿宋_GB2312" w:eastAsia="仿宋_GB2312" w:hAnsi="宋体"/>
          <w:color w:val="auto"/>
          <w:sz w:val="30"/>
          <w:szCs w:val="30"/>
        </w:rPr>
        <w:t>”</w:t>
      </w:r>
      <w:r>
        <w:rPr>
          <w:rFonts w:ascii="仿宋_GB2312" w:eastAsia="仿宋_GB2312" w:hAnsi="宋体" w:hint="eastAsia"/>
          <w:color w:val="auto"/>
          <w:sz w:val="30"/>
          <w:szCs w:val="30"/>
        </w:rPr>
        <w:t>）、香港联合交易所有限公司（以下</w:t>
      </w:r>
      <w:r>
        <w:rPr>
          <w:rFonts w:ascii="仿宋_GB2312" w:eastAsia="仿宋_GB2312" w:hAnsi="宋体"/>
          <w:color w:val="auto"/>
          <w:sz w:val="30"/>
          <w:szCs w:val="30"/>
        </w:rPr>
        <w:t>简称</w:t>
      </w:r>
      <w:r>
        <w:rPr>
          <w:rFonts w:ascii="仿宋_GB2312" w:eastAsia="仿宋_GB2312" w:hAnsi="宋体" w:hint="eastAsia"/>
          <w:color w:val="auto"/>
          <w:sz w:val="30"/>
          <w:szCs w:val="30"/>
        </w:rPr>
        <w:t>“联交所”）、会计</w:t>
      </w:r>
      <w:r>
        <w:rPr>
          <w:rFonts w:ascii="仿宋_GB2312" w:eastAsia="仿宋_GB2312" w:hAnsi="宋体"/>
          <w:color w:val="auto"/>
          <w:sz w:val="30"/>
          <w:szCs w:val="30"/>
        </w:rPr>
        <w:t>准则等口径下的关联方、关联交易</w:t>
      </w:r>
      <w:r>
        <w:rPr>
          <w:rFonts w:ascii="仿宋_GB2312" w:eastAsia="仿宋_GB2312" w:hAnsi="宋体" w:hint="eastAsia"/>
          <w:color w:val="auto"/>
          <w:sz w:val="30"/>
          <w:szCs w:val="30"/>
        </w:rPr>
        <w:t>范围</w:t>
      </w:r>
      <w:r>
        <w:rPr>
          <w:rFonts w:ascii="仿宋_GB2312" w:eastAsia="仿宋_GB2312" w:hAnsi="宋体"/>
          <w:color w:val="auto"/>
          <w:sz w:val="30"/>
          <w:szCs w:val="30"/>
        </w:rPr>
        <w:t>，</w:t>
      </w:r>
      <w:r>
        <w:rPr>
          <w:rFonts w:ascii="仿宋_GB2312" w:eastAsia="仿宋_GB2312" w:hAnsi="宋体" w:hint="eastAsia"/>
          <w:color w:val="auto"/>
          <w:sz w:val="30"/>
          <w:szCs w:val="30"/>
        </w:rPr>
        <w:t>并按照相应规定履行关联交易审议审批、信息披露、</w:t>
      </w:r>
      <w:r>
        <w:rPr>
          <w:rFonts w:ascii="仿宋_GB2312" w:eastAsia="仿宋_GB2312" w:hAnsi="宋体"/>
          <w:color w:val="auto"/>
          <w:sz w:val="30"/>
          <w:szCs w:val="30"/>
        </w:rPr>
        <w:t>豁免</w:t>
      </w:r>
      <w:r>
        <w:rPr>
          <w:rFonts w:ascii="仿宋_GB2312" w:eastAsia="仿宋_GB2312" w:hAnsi="宋体" w:hint="eastAsia"/>
          <w:color w:val="auto"/>
          <w:sz w:val="30"/>
          <w:szCs w:val="30"/>
        </w:rPr>
        <w:t>申报等程序。</w:t>
      </w:r>
    </w:p>
    <w:p w:rsidR="005C402C" w:rsidRDefault="005C402C" w:rsidP="005C402C">
      <w:pPr>
        <w:pStyle w:val="ae"/>
        <w:widowControl w:val="0"/>
        <w:tabs>
          <w:tab w:val="left" w:pos="1701"/>
        </w:tabs>
        <w:adjustRightInd w:val="0"/>
        <w:snapToGrid w:val="0"/>
        <w:spacing w:before="0" w:after="0" w:line="360" w:lineRule="auto"/>
        <w:ind w:firstLine="600"/>
        <w:jc w:val="both"/>
        <w:rPr>
          <w:rFonts w:ascii="仿宋_GB2312" w:eastAsia="仿宋_GB2312" w:hAnsi="宋体"/>
          <w:color w:val="auto"/>
          <w:sz w:val="30"/>
          <w:szCs w:val="30"/>
        </w:rPr>
      </w:pPr>
      <w:r>
        <w:rPr>
          <w:rFonts w:ascii="仿宋_GB2312" w:eastAsia="仿宋_GB2312" w:hAnsi="宋体" w:hint="eastAsia"/>
          <w:color w:val="auto"/>
          <w:sz w:val="30"/>
          <w:szCs w:val="30"/>
        </w:rPr>
        <w:t>同时满足</w:t>
      </w:r>
      <w:r>
        <w:rPr>
          <w:rFonts w:ascii="仿宋_GB2312" w:eastAsia="仿宋_GB2312" w:hAnsi="宋体"/>
          <w:color w:val="auto"/>
          <w:sz w:val="30"/>
          <w:szCs w:val="30"/>
        </w:rPr>
        <w:t>不同口径下关联方及</w:t>
      </w:r>
      <w:r>
        <w:rPr>
          <w:rFonts w:ascii="仿宋_GB2312" w:eastAsia="仿宋_GB2312" w:hAnsi="宋体" w:hint="eastAsia"/>
          <w:color w:val="auto"/>
          <w:sz w:val="30"/>
          <w:szCs w:val="30"/>
        </w:rPr>
        <w:t>关联</w:t>
      </w:r>
      <w:r>
        <w:rPr>
          <w:rFonts w:ascii="仿宋_GB2312" w:eastAsia="仿宋_GB2312" w:hAnsi="宋体"/>
          <w:color w:val="auto"/>
          <w:sz w:val="30"/>
          <w:szCs w:val="30"/>
        </w:rPr>
        <w:t>交易定义，且不同口径</w:t>
      </w:r>
      <w:r>
        <w:rPr>
          <w:rFonts w:ascii="仿宋_GB2312" w:eastAsia="仿宋_GB2312" w:hAnsi="宋体" w:hint="eastAsia"/>
          <w:color w:val="auto"/>
          <w:sz w:val="30"/>
          <w:szCs w:val="30"/>
        </w:rPr>
        <w:t>对关联交易</w:t>
      </w:r>
      <w:r>
        <w:rPr>
          <w:rFonts w:ascii="仿宋_GB2312" w:eastAsia="仿宋_GB2312" w:hAnsi="宋体"/>
          <w:color w:val="auto"/>
          <w:sz w:val="30"/>
          <w:szCs w:val="30"/>
        </w:rPr>
        <w:t>审议审批</w:t>
      </w:r>
      <w:r>
        <w:rPr>
          <w:rFonts w:ascii="仿宋_GB2312" w:eastAsia="仿宋_GB2312" w:hAnsi="宋体" w:hint="eastAsia"/>
          <w:color w:val="auto"/>
          <w:sz w:val="30"/>
          <w:szCs w:val="30"/>
        </w:rPr>
        <w:t>、</w:t>
      </w:r>
      <w:r>
        <w:rPr>
          <w:rFonts w:ascii="仿宋_GB2312" w:eastAsia="仿宋_GB2312" w:hAnsi="宋体"/>
          <w:color w:val="auto"/>
          <w:sz w:val="30"/>
          <w:szCs w:val="30"/>
        </w:rPr>
        <w:t>披露等要求存在差异的，按</w:t>
      </w:r>
      <w:r>
        <w:rPr>
          <w:rFonts w:ascii="仿宋_GB2312" w:eastAsia="仿宋_GB2312" w:hAnsi="宋体" w:hint="eastAsia"/>
          <w:color w:val="auto"/>
          <w:sz w:val="30"/>
          <w:szCs w:val="30"/>
        </w:rPr>
        <w:t>较严</w:t>
      </w:r>
      <w:r>
        <w:rPr>
          <w:rFonts w:ascii="仿宋_GB2312" w:eastAsia="仿宋_GB2312" w:hAnsi="宋体"/>
          <w:color w:val="auto"/>
          <w:sz w:val="30"/>
          <w:szCs w:val="30"/>
        </w:rPr>
        <w:t>者执行。</w:t>
      </w:r>
    </w:p>
    <w:p w:rsidR="005C402C" w:rsidRDefault="005C402C" w:rsidP="005C402C">
      <w:pPr>
        <w:pStyle w:val="ae"/>
        <w:widowControl w:val="0"/>
        <w:tabs>
          <w:tab w:val="left" w:pos="1701"/>
        </w:tabs>
        <w:adjustRightInd w:val="0"/>
        <w:snapToGrid w:val="0"/>
        <w:spacing w:before="0" w:after="0" w:line="360" w:lineRule="auto"/>
        <w:ind w:firstLine="600"/>
        <w:jc w:val="both"/>
        <w:rPr>
          <w:rFonts w:ascii="仿宋_GB2312" w:eastAsia="仿宋_GB2312" w:hAnsi="宋体"/>
          <w:color w:val="auto"/>
          <w:sz w:val="30"/>
          <w:szCs w:val="30"/>
        </w:rPr>
      </w:pPr>
      <w:r>
        <w:rPr>
          <w:rFonts w:ascii="仿宋_GB2312" w:eastAsia="仿宋_GB2312" w:hAnsi="宋体" w:hint="eastAsia"/>
          <w:color w:val="auto"/>
          <w:sz w:val="30"/>
          <w:szCs w:val="30"/>
        </w:rPr>
        <w:t>不同</w:t>
      </w:r>
      <w:r>
        <w:rPr>
          <w:rFonts w:ascii="仿宋_GB2312" w:eastAsia="仿宋_GB2312" w:hAnsi="宋体"/>
          <w:color w:val="auto"/>
          <w:sz w:val="30"/>
          <w:szCs w:val="30"/>
        </w:rPr>
        <w:t>口径</w:t>
      </w:r>
      <w:r>
        <w:rPr>
          <w:rFonts w:ascii="仿宋_GB2312" w:eastAsia="仿宋_GB2312" w:hAnsi="宋体" w:hint="eastAsia"/>
          <w:color w:val="auto"/>
          <w:sz w:val="30"/>
          <w:szCs w:val="30"/>
        </w:rPr>
        <w:t>下</w:t>
      </w:r>
      <w:r>
        <w:rPr>
          <w:rFonts w:ascii="仿宋_GB2312" w:eastAsia="仿宋_GB2312" w:hAnsi="宋体"/>
          <w:color w:val="auto"/>
          <w:sz w:val="30"/>
          <w:szCs w:val="30"/>
        </w:rPr>
        <w:t>的豁免条件仅</w:t>
      </w:r>
      <w:r>
        <w:rPr>
          <w:rFonts w:ascii="仿宋_GB2312" w:eastAsia="仿宋_GB2312" w:hAnsi="宋体" w:hint="eastAsia"/>
          <w:color w:val="auto"/>
          <w:sz w:val="30"/>
          <w:szCs w:val="30"/>
        </w:rPr>
        <w:t>适用</w:t>
      </w:r>
      <w:r>
        <w:rPr>
          <w:rFonts w:ascii="仿宋_GB2312" w:eastAsia="仿宋_GB2312" w:hAnsi="宋体"/>
          <w:color w:val="auto"/>
          <w:sz w:val="30"/>
          <w:szCs w:val="30"/>
        </w:rPr>
        <w:t>于该口径，不得视为对其他口径下相关规定的豁免。</w:t>
      </w:r>
    </w:p>
    <w:p w:rsidR="005C402C" w:rsidRDefault="005C402C" w:rsidP="005C402C">
      <w:pPr>
        <w:pStyle w:val="ae"/>
        <w:widowControl w:val="0"/>
        <w:tabs>
          <w:tab w:val="left" w:pos="1701"/>
        </w:tabs>
        <w:adjustRightInd w:val="0"/>
        <w:snapToGrid w:val="0"/>
        <w:spacing w:before="0" w:after="0" w:line="360" w:lineRule="auto"/>
        <w:ind w:firstLineChars="200" w:firstLine="602"/>
        <w:jc w:val="both"/>
        <w:rPr>
          <w:rFonts w:ascii="仿宋_GB2312" w:eastAsia="仿宋_GB2312" w:hAnsi="宋体"/>
          <w:color w:val="auto"/>
          <w:spacing w:val="8"/>
          <w:sz w:val="30"/>
          <w:szCs w:val="30"/>
          <w:highlight w:val="yellow"/>
        </w:rPr>
      </w:pPr>
      <w:r>
        <w:rPr>
          <w:rFonts w:ascii="仿宋_GB2312" w:eastAsia="仿宋_GB2312" w:hAnsi="宋体" w:hint="eastAsia"/>
          <w:b/>
          <w:color w:val="auto"/>
          <w:sz w:val="30"/>
          <w:szCs w:val="30"/>
        </w:rPr>
        <w:t>第五条</w:t>
      </w:r>
      <w:r>
        <w:rPr>
          <w:rFonts w:ascii="仿宋_GB2312" w:eastAsia="仿宋_GB2312" w:hAnsi="宋体" w:hint="eastAsia"/>
          <w:color w:val="auto"/>
          <w:sz w:val="30"/>
          <w:szCs w:val="30"/>
        </w:rPr>
        <w:t xml:space="preserve">  本行</w:t>
      </w:r>
      <w:r>
        <w:rPr>
          <w:rFonts w:ascii="仿宋_GB2312" w:eastAsia="仿宋_GB2312" w:hint="eastAsia"/>
          <w:sz w:val="30"/>
          <w:szCs w:val="30"/>
        </w:rPr>
        <w:t>内部人不得利用其关联关系损害本行利益，并应如实提供</w:t>
      </w:r>
      <w:r>
        <w:rPr>
          <w:rFonts w:ascii="仿宋_GB2312" w:eastAsia="仿宋_GB2312"/>
          <w:sz w:val="30"/>
          <w:szCs w:val="30"/>
        </w:rPr>
        <w:t>关联</w:t>
      </w:r>
      <w:r>
        <w:rPr>
          <w:rFonts w:ascii="仿宋_GB2312" w:eastAsia="仿宋_GB2312" w:hint="eastAsia"/>
          <w:sz w:val="30"/>
          <w:szCs w:val="30"/>
        </w:rPr>
        <w:t>信息，且当</w:t>
      </w:r>
      <w:r>
        <w:rPr>
          <w:rFonts w:ascii="仿宋_GB2312" w:eastAsia="仿宋_GB2312"/>
          <w:sz w:val="30"/>
          <w:szCs w:val="30"/>
        </w:rPr>
        <w:t>关联信息</w:t>
      </w:r>
      <w:r>
        <w:rPr>
          <w:rFonts w:ascii="仿宋_GB2312" w:eastAsia="仿宋_GB2312" w:hint="eastAsia"/>
          <w:sz w:val="30"/>
          <w:szCs w:val="30"/>
        </w:rPr>
        <w:t>发生</w:t>
      </w:r>
      <w:r>
        <w:rPr>
          <w:rFonts w:ascii="仿宋_GB2312" w:eastAsia="仿宋_GB2312"/>
          <w:sz w:val="30"/>
          <w:szCs w:val="30"/>
        </w:rPr>
        <w:t>变化时应</w:t>
      </w:r>
      <w:r>
        <w:rPr>
          <w:rFonts w:ascii="仿宋_GB2312" w:eastAsia="仿宋_GB2312" w:hint="eastAsia"/>
          <w:sz w:val="30"/>
          <w:szCs w:val="30"/>
        </w:rPr>
        <w:t>及时告知</w:t>
      </w:r>
      <w:r>
        <w:rPr>
          <w:rFonts w:ascii="仿宋_GB2312" w:eastAsia="仿宋_GB2312"/>
          <w:sz w:val="30"/>
          <w:szCs w:val="30"/>
        </w:rPr>
        <w:t>信息收集和更新部门</w:t>
      </w:r>
      <w:r>
        <w:rPr>
          <w:rFonts w:ascii="仿宋_GB2312" w:eastAsia="仿宋_GB2312" w:hint="eastAsia"/>
          <w:sz w:val="30"/>
          <w:szCs w:val="30"/>
        </w:rPr>
        <w:t>。违反上述规定给本行造成损失的，应当承担赔偿责任。</w:t>
      </w:r>
    </w:p>
    <w:p w:rsidR="005C402C" w:rsidRDefault="005C402C" w:rsidP="005C402C">
      <w:pPr>
        <w:pStyle w:val="1"/>
        <w:numPr>
          <w:ilvl w:val="0"/>
          <w:numId w:val="2"/>
        </w:numPr>
        <w:tabs>
          <w:tab w:val="clear" w:pos="1155"/>
          <w:tab w:val="left" w:pos="1260"/>
        </w:tabs>
        <w:adjustRightInd w:val="0"/>
        <w:snapToGrid w:val="0"/>
        <w:spacing w:after="0" w:line="360" w:lineRule="auto"/>
        <w:jc w:val="center"/>
        <w:rPr>
          <w:rFonts w:ascii="仿宋_GB2312" w:eastAsia="仿宋_GB2312" w:hAnsi="宋体"/>
          <w:spacing w:val="0"/>
          <w:sz w:val="30"/>
          <w:szCs w:val="30"/>
          <w:u w:color="000000"/>
          <w:lang w:eastAsia="zh-CN"/>
        </w:rPr>
      </w:pPr>
      <w:bookmarkStart w:id="6" w:name="_Toc20055688"/>
      <w:bookmarkStart w:id="7" w:name="_Toc255411852"/>
      <w:r>
        <w:rPr>
          <w:rFonts w:ascii="仿宋_GB2312" w:eastAsia="仿宋_GB2312" w:hAnsi="宋体" w:hint="eastAsia"/>
          <w:spacing w:val="0"/>
          <w:sz w:val="30"/>
          <w:szCs w:val="30"/>
          <w:u w:color="000000"/>
          <w:lang w:eastAsia="zh-CN"/>
        </w:rPr>
        <w:t>关联方的认定</w:t>
      </w:r>
      <w:bookmarkEnd w:id="6"/>
    </w:p>
    <w:p w:rsidR="005C402C" w:rsidRDefault="005C402C" w:rsidP="005C402C">
      <w:pPr>
        <w:pStyle w:val="ae"/>
        <w:widowControl w:val="0"/>
        <w:tabs>
          <w:tab w:val="left" w:pos="1701"/>
        </w:tabs>
        <w:adjustRightInd w:val="0"/>
        <w:snapToGrid w:val="0"/>
        <w:spacing w:after="0" w:line="360" w:lineRule="auto"/>
        <w:ind w:firstLineChars="200" w:firstLine="602"/>
        <w:jc w:val="both"/>
        <w:rPr>
          <w:rFonts w:ascii="仿宋_GB2312" w:eastAsia="仿宋_GB2312" w:hAnsi="宋体"/>
          <w:sz w:val="30"/>
          <w:szCs w:val="30"/>
        </w:rPr>
      </w:pPr>
      <w:r>
        <w:rPr>
          <w:rFonts w:ascii="仿宋_GB2312" w:eastAsia="仿宋_GB2312" w:hAnsi="宋体" w:hint="eastAsia"/>
          <w:b/>
          <w:color w:val="auto"/>
          <w:sz w:val="30"/>
          <w:szCs w:val="30"/>
        </w:rPr>
        <w:t>第六条</w:t>
      </w:r>
      <w:r>
        <w:rPr>
          <w:rFonts w:ascii="仿宋_GB2312" w:eastAsia="仿宋_GB2312" w:hAnsi="宋体" w:hint="eastAsia"/>
          <w:color w:val="auto"/>
          <w:sz w:val="30"/>
          <w:szCs w:val="30"/>
        </w:rPr>
        <w:t xml:space="preserve">  </w:t>
      </w:r>
      <w:r>
        <w:rPr>
          <w:rFonts w:ascii="仿宋_GB2312" w:eastAsia="仿宋_GB2312" w:hAnsi="宋体"/>
          <w:color w:val="auto"/>
          <w:sz w:val="30"/>
          <w:szCs w:val="30"/>
        </w:rPr>
        <w:t>本行的</w:t>
      </w:r>
      <w:r>
        <w:rPr>
          <w:rFonts w:ascii="仿宋_GB2312" w:eastAsia="仿宋_GB2312" w:hAnsi="宋体" w:hint="eastAsia"/>
          <w:color w:val="auto"/>
          <w:sz w:val="30"/>
          <w:szCs w:val="30"/>
        </w:rPr>
        <w:t>关联方包括关联自然人、关联法人或其他组织。不同口径下的关联方范围详见《关联</w:t>
      </w:r>
      <w:r>
        <w:rPr>
          <w:rFonts w:ascii="仿宋_GB2312" w:eastAsia="仿宋_GB2312" w:hAnsi="宋体"/>
          <w:color w:val="auto"/>
          <w:sz w:val="30"/>
          <w:szCs w:val="30"/>
        </w:rPr>
        <w:t>方相关定义</w:t>
      </w:r>
      <w:r>
        <w:rPr>
          <w:rFonts w:ascii="仿宋_GB2312" w:eastAsia="仿宋_GB2312" w:hAnsi="宋体" w:hint="eastAsia"/>
          <w:color w:val="auto"/>
          <w:sz w:val="30"/>
          <w:szCs w:val="30"/>
        </w:rPr>
        <w:t>》</w:t>
      </w:r>
      <w:r>
        <w:rPr>
          <w:rFonts w:ascii="仿宋_GB2312" w:eastAsia="仿宋_GB2312" w:hAnsi="宋体"/>
          <w:color w:val="auto"/>
          <w:sz w:val="30"/>
          <w:szCs w:val="30"/>
        </w:rPr>
        <w:t>（</w:t>
      </w:r>
      <w:r>
        <w:rPr>
          <w:rFonts w:ascii="仿宋_GB2312" w:eastAsia="仿宋_GB2312" w:hAnsi="宋体" w:hint="eastAsia"/>
          <w:color w:val="auto"/>
          <w:sz w:val="30"/>
          <w:szCs w:val="30"/>
        </w:rPr>
        <w:t>附件1</w:t>
      </w:r>
      <w:r>
        <w:rPr>
          <w:rFonts w:ascii="仿宋_GB2312" w:eastAsia="仿宋_GB2312" w:hAnsi="宋体"/>
          <w:color w:val="auto"/>
          <w:sz w:val="30"/>
          <w:szCs w:val="30"/>
        </w:rPr>
        <w:t>）</w:t>
      </w:r>
      <w:r>
        <w:rPr>
          <w:rFonts w:ascii="仿宋_GB2312" w:eastAsia="仿宋_GB2312" w:hAnsi="宋体" w:hint="eastAsia"/>
          <w:color w:val="auto"/>
          <w:sz w:val="30"/>
          <w:szCs w:val="30"/>
        </w:rPr>
        <w:t>。</w:t>
      </w:r>
    </w:p>
    <w:p w:rsidR="005C402C" w:rsidRDefault="005C402C" w:rsidP="005C402C">
      <w:pPr>
        <w:pStyle w:val="ae"/>
        <w:widowControl w:val="0"/>
        <w:tabs>
          <w:tab w:val="left" w:pos="1701"/>
        </w:tabs>
        <w:adjustRightInd w:val="0"/>
        <w:snapToGrid w:val="0"/>
        <w:spacing w:after="0" w:line="360" w:lineRule="auto"/>
        <w:ind w:firstLineChars="200" w:firstLine="602"/>
        <w:jc w:val="both"/>
        <w:rPr>
          <w:rFonts w:ascii="仿宋_GB2312" w:eastAsia="仿宋_GB2312" w:hAnsi="宋体"/>
          <w:sz w:val="30"/>
          <w:szCs w:val="30"/>
        </w:rPr>
      </w:pPr>
      <w:r>
        <w:rPr>
          <w:rFonts w:ascii="仿宋_GB2312" w:eastAsia="仿宋_GB2312" w:hAnsi="宋体" w:hint="eastAsia"/>
          <w:b/>
          <w:color w:val="auto"/>
          <w:sz w:val="30"/>
          <w:szCs w:val="30"/>
        </w:rPr>
        <w:t>第七条</w:t>
      </w:r>
      <w:r>
        <w:rPr>
          <w:rFonts w:ascii="仿宋_GB2312" w:eastAsia="仿宋_GB2312" w:hAnsi="宋体" w:hint="eastAsia"/>
          <w:color w:val="auto"/>
          <w:sz w:val="30"/>
          <w:szCs w:val="30"/>
        </w:rPr>
        <w:t xml:space="preserve">  本行关联自然人包括</w:t>
      </w:r>
      <w:r>
        <w:rPr>
          <w:rFonts w:ascii="仿宋_GB2312" w:eastAsia="仿宋_GB2312" w:hAnsi="宋体"/>
          <w:color w:val="auto"/>
          <w:sz w:val="30"/>
          <w:szCs w:val="30"/>
        </w:rPr>
        <w:t>：</w:t>
      </w:r>
    </w:p>
    <w:p w:rsidR="005C402C" w:rsidRDefault="005C402C" w:rsidP="005C402C">
      <w:pPr>
        <w:pStyle w:val="ae"/>
        <w:widowControl w:val="0"/>
        <w:tabs>
          <w:tab w:val="left" w:pos="1701"/>
        </w:tabs>
        <w:adjustRightInd w:val="0"/>
        <w:snapToGrid w:val="0"/>
        <w:spacing w:before="0" w:after="0" w:line="360" w:lineRule="auto"/>
        <w:ind w:firstLineChars="200" w:firstLine="600"/>
        <w:jc w:val="both"/>
        <w:rPr>
          <w:rFonts w:ascii="仿宋_GB2312" w:eastAsia="仿宋_GB2312" w:hAnsi="宋体"/>
          <w:color w:val="auto"/>
          <w:sz w:val="30"/>
          <w:szCs w:val="30"/>
        </w:rPr>
      </w:pPr>
      <w:r>
        <w:rPr>
          <w:rFonts w:ascii="仿宋_GB2312" w:eastAsia="仿宋_GB2312" w:hAnsi="宋体" w:hint="eastAsia"/>
          <w:color w:val="auto"/>
          <w:sz w:val="30"/>
          <w:szCs w:val="30"/>
        </w:rPr>
        <w:t>（一）本行的内部人：</w:t>
      </w:r>
    </w:p>
    <w:p w:rsidR="005C402C" w:rsidRDefault="005C402C" w:rsidP="005C402C">
      <w:pPr>
        <w:pStyle w:val="ae"/>
        <w:widowControl w:val="0"/>
        <w:tabs>
          <w:tab w:val="left" w:pos="1701"/>
        </w:tabs>
        <w:adjustRightInd w:val="0"/>
        <w:snapToGrid w:val="0"/>
        <w:spacing w:before="0" w:after="0" w:line="360" w:lineRule="auto"/>
        <w:ind w:left="574" w:firstLine="0"/>
        <w:jc w:val="both"/>
        <w:rPr>
          <w:rFonts w:ascii="仿宋_GB2312" w:eastAsia="仿宋_GB2312" w:hAnsi="宋体"/>
          <w:color w:val="auto"/>
          <w:sz w:val="30"/>
          <w:szCs w:val="30"/>
        </w:rPr>
      </w:pPr>
      <w:r>
        <w:rPr>
          <w:rFonts w:ascii="仿宋_GB2312" w:eastAsia="仿宋_GB2312" w:hAnsi="宋体" w:hint="eastAsia"/>
          <w:color w:val="auto"/>
          <w:sz w:val="30"/>
          <w:szCs w:val="30"/>
        </w:rPr>
        <w:lastRenderedPageBreak/>
        <w:t>1</w:t>
      </w:r>
      <w:r>
        <w:rPr>
          <w:rFonts w:ascii="仿宋_GB2312" w:eastAsia="仿宋_GB2312" w:hAnsi="宋体"/>
          <w:color w:val="auto"/>
          <w:sz w:val="30"/>
          <w:szCs w:val="30"/>
        </w:rPr>
        <w:t>.</w:t>
      </w:r>
      <w:r>
        <w:rPr>
          <w:rFonts w:ascii="仿宋_GB2312" w:eastAsia="仿宋_GB2312" w:hAnsi="宋体" w:hint="eastAsia"/>
          <w:color w:val="auto"/>
          <w:sz w:val="30"/>
          <w:szCs w:val="30"/>
        </w:rPr>
        <w:t>本行的董事、监事；</w:t>
      </w:r>
    </w:p>
    <w:p w:rsidR="005C402C" w:rsidRDefault="005C402C" w:rsidP="005C402C">
      <w:pPr>
        <w:pStyle w:val="ae"/>
        <w:widowControl w:val="0"/>
        <w:tabs>
          <w:tab w:val="left" w:pos="1701"/>
        </w:tabs>
        <w:adjustRightInd w:val="0"/>
        <w:snapToGrid w:val="0"/>
        <w:spacing w:before="0" w:after="0" w:line="360" w:lineRule="auto"/>
        <w:ind w:left="574" w:firstLine="0"/>
        <w:jc w:val="both"/>
        <w:rPr>
          <w:rFonts w:ascii="仿宋_GB2312" w:eastAsia="仿宋_GB2312" w:hAnsi="宋体"/>
          <w:color w:val="auto"/>
          <w:sz w:val="30"/>
          <w:szCs w:val="30"/>
        </w:rPr>
      </w:pPr>
      <w:r>
        <w:rPr>
          <w:rFonts w:ascii="仿宋_GB2312" w:eastAsia="仿宋_GB2312" w:hAnsi="宋体" w:hint="eastAsia"/>
          <w:color w:val="auto"/>
          <w:sz w:val="30"/>
          <w:szCs w:val="30"/>
        </w:rPr>
        <w:t>2.总行、分（支）行高级管理人员；</w:t>
      </w:r>
    </w:p>
    <w:p w:rsidR="005C402C" w:rsidRDefault="005C402C" w:rsidP="005C402C">
      <w:pPr>
        <w:pStyle w:val="ae"/>
        <w:widowControl w:val="0"/>
        <w:tabs>
          <w:tab w:val="left" w:pos="1701"/>
        </w:tabs>
        <w:adjustRightInd w:val="0"/>
        <w:snapToGrid w:val="0"/>
        <w:spacing w:before="0" w:after="0" w:line="360" w:lineRule="auto"/>
        <w:ind w:left="574" w:firstLine="0"/>
        <w:jc w:val="both"/>
        <w:rPr>
          <w:rFonts w:ascii="仿宋_GB2312" w:eastAsia="仿宋_GB2312" w:hAnsi="宋体"/>
          <w:color w:val="auto"/>
          <w:sz w:val="30"/>
          <w:szCs w:val="30"/>
        </w:rPr>
      </w:pPr>
      <w:r>
        <w:rPr>
          <w:rFonts w:ascii="仿宋_GB2312" w:eastAsia="仿宋_GB2312" w:hAnsi="宋体" w:hint="eastAsia"/>
          <w:color w:val="auto"/>
          <w:sz w:val="30"/>
          <w:szCs w:val="30"/>
        </w:rPr>
        <w:t>3.本行所有具有信贷审批权限的审批人员；</w:t>
      </w:r>
    </w:p>
    <w:p w:rsidR="005C402C" w:rsidRDefault="005C402C" w:rsidP="005C402C">
      <w:pPr>
        <w:pStyle w:val="ae"/>
        <w:widowControl w:val="0"/>
        <w:tabs>
          <w:tab w:val="left" w:pos="1701"/>
        </w:tabs>
        <w:adjustRightInd w:val="0"/>
        <w:snapToGrid w:val="0"/>
        <w:spacing w:before="0" w:after="0" w:line="360" w:lineRule="auto"/>
        <w:ind w:left="574" w:firstLine="0"/>
        <w:jc w:val="both"/>
        <w:rPr>
          <w:rFonts w:ascii="仿宋_GB2312" w:eastAsia="仿宋_GB2312" w:hAnsi="宋体"/>
          <w:color w:val="auto"/>
          <w:sz w:val="30"/>
          <w:szCs w:val="30"/>
        </w:rPr>
      </w:pPr>
      <w:r>
        <w:rPr>
          <w:rFonts w:ascii="仿宋_GB2312" w:eastAsia="仿宋_GB2312" w:hAnsi="宋体"/>
          <w:color w:val="auto"/>
          <w:sz w:val="30"/>
          <w:szCs w:val="30"/>
        </w:rPr>
        <w:t>4.</w:t>
      </w:r>
      <w:r>
        <w:rPr>
          <w:rFonts w:ascii="仿宋_GB2312" w:eastAsia="仿宋_GB2312" w:hAnsi="宋体" w:hint="eastAsia"/>
          <w:color w:val="auto"/>
          <w:sz w:val="30"/>
          <w:szCs w:val="30"/>
        </w:rPr>
        <w:t>其他有权决定或参与授信和资产转移的相关人员。</w:t>
      </w:r>
    </w:p>
    <w:p w:rsidR="005C402C" w:rsidRDefault="005C402C" w:rsidP="005C402C">
      <w:pPr>
        <w:pStyle w:val="ae"/>
        <w:widowControl w:val="0"/>
        <w:tabs>
          <w:tab w:val="left" w:pos="1701"/>
        </w:tabs>
        <w:adjustRightInd w:val="0"/>
        <w:snapToGrid w:val="0"/>
        <w:spacing w:before="0" w:after="0" w:line="360" w:lineRule="auto"/>
        <w:ind w:left="574" w:firstLine="0"/>
        <w:jc w:val="both"/>
        <w:rPr>
          <w:rFonts w:ascii="仿宋_GB2312" w:eastAsia="仿宋_GB2312" w:hAnsi="宋体"/>
          <w:color w:val="auto"/>
          <w:sz w:val="30"/>
          <w:szCs w:val="30"/>
        </w:rPr>
      </w:pPr>
      <w:r>
        <w:rPr>
          <w:rFonts w:ascii="仿宋_GB2312" w:eastAsia="仿宋_GB2312" w:hAnsi="宋体" w:hint="eastAsia"/>
          <w:color w:val="auto"/>
          <w:sz w:val="30"/>
          <w:szCs w:val="30"/>
        </w:rPr>
        <w:t>（二）本行的主要自然人股东：</w:t>
      </w:r>
    </w:p>
    <w:p w:rsidR="005C402C" w:rsidRDefault="005C402C" w:rsidP="005C402C">
      <w:pPr>
        <w:pStyle w:val="ae"/>
        <w:widowControl w:val="0"/>
        <w:tabs>
          <w:tab w:val="left" w:pos="1701"/>
        </w:tabs>
        <w:adjustRightInd w:val="0"/>
        <w:snapToGrid w:val="0"/>
        <w:spacing w:before="0" w:after="0" w:line="360" w:lineRule="auto"/>
        <w:ind w:firstLineChars="200" w:firstLine="600"/>
        <w:jc w:val="both"/>
        <w:rPr>
          <w:rFonts w:ascii="仿宋_GB2312" w:eastAsia="仿宋_GB2312" w:hAnsi="宋体"/>
          <w:color w:val="auto"/>
          <w:sz w:val="30"/>
          <w:szCs w:val="30"/>
        </w:rPr>
      </w:pPr>
      <w:r>
        <w:rPr>
          <w:rFonts w:ascii="仿宋_GB2312" w:eastAsia="仿宋_GB2312" w:hAnsi="华文仿宋" w:hint="eastAsia"/>
          <w:color w:val="auto"/>
          <w:sz w:val="30"/>
          <w:szCs w:val="30"/>
        </w:rPr>
        <w:t>指持有或控制本行5%以上（含）股份或表决权，或持有资本总额或股份总额不足5%，但对本行经营管理有重大影响的自然人股东</w:t>
      </w:r>
      <w:r>
        <w:rPr>
          <w:rFonts w:ascii="仿宋_GB2312" w:eastAsia="仿宋_GB2312" w:hAnsi="宋体" w:hint="eastAsia"/>
          <w:color w:val="auto"/>
          <w:sz w:val="30"/>
          <w:szCs w:val="30"/>
        </w:rPr>
        <w:t>。</w:t>
      </w:r>
    </w:p>
    <w:p w:rsidR="005C402C" w:rsidRDefault="005C402C" w:rsidP="005C402C">
      <w:pPr>
        <w:pStyle w:val="ae"/>
        <w:widowControl w:val="0"/>
        <w:tabs>
          <w:tab w:val="left" w:pos="1701"/>
        </w:tabs>
        <w:adjustRightInd w:val="0"/>
        <w:snapToGrid w:val="0"/>
        <w:spacing w:before="0" w:after="0" w:line="360" w:lineRule="auto"/>
        <w:ind w:firstLineChars="200" w:firstLine="600"/>
        <w:jc w:val="both"/>
        <w:rPr>
          <w:rFonts w:ascii="仿宋_GB2312" w:eastAsia="仿宋_GB2312" w:hAnsi="宋体"/>
          <w:color w:val="auto"/>
          <w:sz w:val="30"/>
          <w:szCs w:val="30"/>
        </w:rPr>
      </w:pPr>
      <w:r>
        <w:rPr>
          <w:rFonts w:ascii="仿宋_GB2312" w:eastAsia="仿宋_GB2312" w:hAnsi="宋体" w:hint="eastAsia"/>
          <w:color w:val="auto"/>
          <w:sz w:val="30"/>
          <w:szCs w:val="30"/>
        </w:rPr>
        <w:t>重大影响包括但不限于向本行派驻董事、监事或高级管理人员，通过协议或其他方式影响本行的财务和经营管理决策以及监管机构认定的其他情形（</w:t>
      </w:r>
      <w:r>
        <w:rPr>
          <w:rFonts w:ascii="仿宋_GB2312" w:eastAsia="仿宋_GB2312" w:hAnsi="宋体"/>
          <w:color w:val="auto"/>
          <w:sz w:val="30"/>
          <w:szCs w:val="30"/>
        </w:rPr>
        <w:t>下同</w:t>
      </w:r>
      <w:r>
        <w:rPr>
          <w:rFonts w:ascii="仿宋_GB2312" w:eastAsia="仿宋_GB2312" w:hAnsi="宋体" w:hint="eastAsia"/>
          <w:color w:val="auto"/>
          <w:sz w:val="30"/>
          <w:szCs w:val="30"/>
        </w:rPr>
        <w:t>）。</w:t>
      </w:r>
    </w:p>
    <w:p w:rsidR="005C402C" w:rsidRDefault="005C402C" w:rsidP="005C402C">
      <w:pPr>
        <w:pStyle w:val="ae"/>
        <w:widowControl w:val="0"/>
        <w:tabs>
          <w:tab w:val="left" w:pos="1701"/>
        </w:tabs>
        <w:adjustRightInd w:val="0"/>
        <w:snapToGrid w:val="0"/>
        <w:spacing w:before="0" w:after="0" w:line="360" w:lineRule="auto"/>
        <w:ind w:firstLineChars="200" w:firstLine="600"/>
        <w:jc w:val="both"/>
        <w:rPr>
          <w:rFonts w:ascii="仿宋_GB2312" w:eastAsia="仿宋_GB2312" w:hAnsi="宋体"/>
          <w:color w:val="auto"/>
          <w:sz w:val="30"/>
          <w:szCs w:val="30"/>
        </w:rPr>
      </w:pPr>
      <w:r>
        <w:rPr>
          <w:rFonts w:ascii="仿宋_GB2312" w:eastAsia="仿宋_GB2312" w:hAnsi="宋体" w:hint="eastAsia"/>
          <w:color w:val="auto"/>
          <w:sz w:val="30"/>
          <w:szCs w:val="30"/>
        </w:rPr>
        <w:t>自然人股东的近亲属持有或控制的股份或表决权应当与该自然人股东合并计算。</w:t>
      </w:r>
    </w:p>
    <w:p w:rsidR="005C402C" w:rsidRDefault="005C402C" w:rsidP="005C402C">
      <w:pPr>
        <w:pStyle w:val="ae"/>
        <w:widowControl w:val="0"/>
        <w:tabs>
          <w:tab w:val="left" w:pos="1701"/>
        </w:tabs>
        <w:adjustRightInd w:val="0"/>
        <w:snapToGrid w:val="0"/>
        <w:spacing w:before="0" w:after="0" w:line="360" w:lineRule="auto"/>
        <w:ind w:firstLineChars="200" w:firstLine="600"/>
        <w:jc w:val="both"/>
        <w:rPr>
          <w:rFonts w:ascii="仿宋_GB2312" w:eastAsia="仿宋_GB2312" w:hAnsi="宋体"/>
          <w:color w:val="auto"/>
          <w:sz w:val="30"/>
          <w:szCs w:val="30"/>
        </w:rPr>
      </w:pPr>
      <w:r>
        <w:rPr>
          <w:rFonts w:ascii="仿宋_GB2312" w:eastAsia="仿宋_GB2312" w:hAnsi="宋体" w:hint="eastAsia"/>
          <w:color w:val="auto"/>
          <w:sz w:val="30"/>
          <w:szCs w:val="30"/>
        </w:rPr>
        <w:t>（三）本行的内部人与主要自然人股东的近亲属：</w:t>
      </w:r>
    </w:p>
    <w:p w:rsidR="005C402C" w:rsidRDefault="005C402C" w:rsidP="005C402C">
      <w:pPr>
        <w:pStyle w:val="ae"/>
        <w:widowControl w:val="0"/>
        <w:tabs>
          <w:tab w:val="left" w:pos="1701"/>
        </w:tabs>
        <w:adjustRightInd w:val="0"/>
        <w:snapToGrid w:val="0"/>
        <w:spacing w:before="0" w:after="0" w:line="360" w:lineRule="auto"/>
        <w:ind w:firstLineChars="200" w:firstLine="600"/>
        <w:jc w:val="both"/>
        <w:rPr>
          <w:rFonts w:ascii="仿宋_GB2312" w:eastAsia="仿宋_GB2312" w:hAnsi="宋体"/>
          <w:color w:val="auto"/>
          <w:sz w:val="30"/>
          <w:szCs w:val="30"/>
        </w:rPr>
      </w:pPr>
      <w:r>
        <w:rPr>
          <w:rFonts w:ascii="仿宋_GB2312" w:eastAsia="仿宋_GB2312" w:hAnsi="宋体" w:hint="eastAsia"/>
          <w:color w:val="auto"/>
          <w:sz w:val="30"/>
          <w:szCs w:val="30"/>
        </w:rPr>
        <w:t>包括但不</w:t>
      </w:r>
      <w:r>
        <w:rPr>
          <w:rFonts w:ascii="仿宋_GB2312" w:eastAsia="仿宋_GB2312" w:hAnsi="宋体"/>
          <w:color w:val="auto"/>
          <w:sz w:val="30"/>
          <w:szCs w:val="30"/>
        </w:rPr>
        <w:t>限于：</w:t>
      </w:r>
      <w:r>
        <w:rPr>
          <w:rFonts w:ascii="仿宋_GB2312" w:eastAsia="仿宋_GB2312" w:hAnsi="宋体" w:hint="eastAsia"/>
          <w:color w:val="auto"/>
          <w:sz w:val="30"/>
          <w:szCs w:val="30"/>
        </w:rPr>
        <w:t>配偶、年满十八周岁的子女及其配偶、父母及配偶的父母、兄弟姐妹及其配偶、配偶的兄弟姐妹及其</w:t>
      </w:r>
      <w:r>
        <w:rPr>
          <w:rFonts w:ascii="仿宋_GB2312" w:eastAsia="仿宋_GB2312" w:hAnsi="宋体"/>
          <w:color w:val="auto"/>
          <w:sz w:val="30"/>
          <w:szCs w:val="30"/>
        </w:rPr>
        <w:t>配偶</w:t>
      </w:r>
      <w:r>
        <w:rPr>
          <w:rFonts w:ascii="仿宋_GB2312" w:eastAsia="仿宋_GB2312" w:hAnsi="宋体" w:hint="eastAsia"/>
          <w:color w:val="auto"/>
          <w:sz w:val="30"/>
          <w:szCs w:val="30"/>
        </w:rPr>
        <w:t>、子女配偶的父母、父母的兄弟姐妹及其配偶、父母的兄弟姐妹的成年子女及其配偶</w:t>
      </w:r>
      <w:r>
        <w:rPr>
          <w:rFonts w:ascii="仿宋_GB2312" w:eastAsia="仿宋_GB2312" w:hAnsi="宋体"/>
          <w:color w:val="auto"/>
          <w:sz w:val="30"/>
          <w:szCs w:val="30"/>
        </w:rPr>
        <w:t>。</w:t>
      </w:r>
    </w:p>
    <w:p w:rsidR="005C402C" w:rsidRDefault="005C402C" w:rsidP="005C402C">
      <w:pPr>
        <w:pStyle w:val="ae"/>
        <w:widowControl w:val="0"/>
        <w:tabs>
          <w:tab w:val="left" w:pos="1701"/>
        </w:tabs>
        <w:adjustRightInd w:val="0"/>
        <w:snapToGrid w:val="0"/>
        <w:spacing w:before="0" w:after="0" w:line="360" w:lineRule="auto"/>
        <w:ind w:firstLineChars="200" w:firstLine="600"/>
        <w:jc w:val="both"/>
        <w:rPr>
          <w:rFonts w:ascii="仿宋_GB2312" w:eastAsia="仿宋_GB2312" w:hAnsi="宋体"/>
          <w:color w:val="auto"/>
          <w:sz w:val="30"/>
          <w:szCs w:val="30"/>
        </w:rPr>
      </w:pPr>
      <w:r>
        <w:rPr>
          <w:rFonts w:ascii="仿宋_GB2312" w:eastAsia="仿宋_GB2312" w:hAnsi="宋体" w:hint="eastAsia"/>
          <w:color w:val="auto"/>
          <w:sz w:val="30"/>
          <w:szCs w:val="30"/>
        </w:rPr>
        <w:t>（四）本行关联法人或其他组织的控股自然人股东、董事、监事、关键管理人员。本项所指关联法人或其他组织不包括本行的内部人与主要自然人股东及其近亲属直接、间接、共同控制或可施加重大影响的法人或其他组织。</w:t>
      </w:r>
    </w:p>
    <w:p w:rsidR="005C402C" w:rsidRDefault="005C402C" w:rsidP="005C402C">
      <w:pPr>
        <w:pStyle w:val="ae"/>
        <w:widowControl w:val="0"/>
        <w:tabs>
          <w:tab w:val="left" w:pos="1701"/>
        </w:tabs>
        <w:adjustRightInd w:val="0"/>
        <w:snapToGrid w:val="0"/>
        <w:spacing w:before="0" w:after="0" w:line="360" w:lineRule="auto"/>
        <w:ind w:firstLineChars="200" w:firstLine="600"/>
        <w:jc w:val="both"/>
        <w:rPr>
          <w:rFonts w:ascii="仿宋_GB2312" w:eastAsia="仿宋_GB2312" w:hAnsi="宋体"/>
          <w:color w:val="auto"/>
          <w:sz w:val="30"/>
          <w:szCs w:val="30"/>
        </w:rPr>
      </w:pPr>
      <w:r>
        <w:rPr>
          <w:rFonts w:ascii="仿宋_GB2312" w:eastAsia="仿宋_GB2312" w:hAnsi="宋体" w:hint="eastAsia"/>
          <w:color w:val="auto"/>
          <w:sz w:val="30"/>
          <w:szCs w:val="30"/>
        </w:rPr>
        <w:t>（五）其他</w:t>
      </w:r>
      <w:r>
        <w:rPr>
          <w:rFonts w:ascii="仿宋_GB2312" w:eastAsia="仿宋_GB2312" w:hAnsi="宋体"/>
          <w:color w:val="auto"/>
          <w:sz w:val="30"/>
          <w:szCs w:val="30"/>
        </w:rPr>
        <w:t>由</w:t>
      </w:r>
      <w:r>
        <w:rPr>
          <w:rFonts w:ascii="仿宋_GB2312" w:eastAsia="仿宋_GB2312" w:hAnsi="宋体" w:hint="eastAsia"/>
          <w:color w:val="auto"/>
          <w:sz w:val="30"/>
          <w:szCs w:val="30"/>
        </w:rPr>
        <w:t>银保监会、证监会及</w:t>
      </w:r>
      <w:r>
        <w:rPr>
          <w:rFonts w:ascii="仿宋_GB2312" w:eastAsia="仿宋_GB2312" w:hAnsi="宋体"/>
          <w:color w:val="auto"/>
          <w:sz w:val="30"/>
          <w:szCs w:val="30"/>
        </w:rPr>
        <w:t>上交所、</w:t>
      </w:r>
      <w:r>
        <w:rPr>
          <w:rFonts w:ascii="仿宋_GB2312" w:eastAsia="仿宋_GB2312" w:hAnsi="宋体" w:hint="eastAsia"/>
          <w:color w:val="auto"/>
          <w:sz w:val="30"/>
          <w:szCs w:val="30"/>
        </w:rPr>
        <w:t>联交所、</w:t>
      </w:r>
      <w:r>
        <w:rPr>
          <w:rFonts w:ascii="仿宋_GB2312" w:eastAsia="仿宋_GB2312" w:hAnsi="宋体"/>
          <w:color w:val="auto"/>
          <w:sz w:val="30"/>
          <w:szCs w:val="30"/>
        </w:rPr>
        <w:t>会计准则</w:t>
      </w:r>
      <w:r>
        <w:rPr>
          <w:rFonts w:ascii="仿宋_GB2312" w:eastAsia="仿宋_GB2312" w:hAnsi="宋体" w:hint="eastAsia"/>
          <w:color w:val="auto"/>
          <w:sz w:val="30"/>
          <w:szCs w:val="30"/>
        </w:rPr>
        <w:t>等认定的关联自然人。</w:t>
      </w:r>
    </w:p>
    <w:p w:rsidR="005C402C" w:rsidRDefault="005C402C" w:rsidP="005C402C">
      <w:pPr>
        <w:pStyle w:val="ae"/>
        <w:widowControl w:val="0"/>
        <w:tabs>
          <w:tab w:val="left" w:pos="1701"/>
        </w:tabs>
        <w:adjustRightInd w:val="0"/>
        <w:snapToGrid w:val="0"/>
        <w:spacing w:before="0" w:after="0" w:line="360" w:lineRule="auto"/>
        <w:ind w:firstLineChars="200" w:firstLine="602"/>
        <w:jc w:val="both"/>
        <w:rPr>
          <w:rFonts w:ascii="仿宋_GB2312" w:eastAsia="仿宋_GB2312" w:hAnsi="宋体"/>
          <w:color w:val="auto"/>
          <w:sz w:val="30"/>
          <w:szCs w:val="30"/>
        </w:rPr>
      </w:pPr>
      <w:r>
        <w:rPr>
          <w:rFonts w:ascii="仿宋_GB2312" w:eastAsia="仿宋_GB2312" w:hint="eastAsia"/>
          <w:b/>
          <w:sz w:val="30"/>
        </w:rPr>
        <w:lastRenderedPageBreak/>
        <w:t>第八条</w:t>
      </w:r>
      <w:r>
        <w:rPr>
          <w:rFonts w:ascii="仿宋_GB2312" w:eastAsia="仿宋_GB2312" w:hint="eastAsia"/>
          <w:sz w:val="30"/>
        </w:rPr>
        <w:t xml:space="preserve">  本行关联法人或其他组织包括：</w:t>
      </w:r>
    </w:p>
    <w:p w:rsidR="005C402C" w:rsidRDefault="005C402C" w:rsidP="005C402C">
      <w:pPr>
        <w:pStyle w:val="ae"/>
        <w:widowControl w:val="0"/>
        <w:tabs>
          <w:tab w:val="left" w:pos="1701"/>
        </w:tabs>
        <w:adjustRightInd w:val="0"/>
        <w:snapToGrid w:val="0"/>
        <w:spacing w:before="0" w:after="0" w:line="360" w:lineRule="auto"/>
        <w:ind w:firstLineChars="200" w:firstLine="600"/>
        <w:jc w:val="both"/>
        <w:rPr>
          <w:rFonts w:ascii="仿宋_GB2312" w:eastAsia="仿宋_GB2312" w:hAnsi="宋体"/>
          <w:color w:val="auto"/>
          <w:sz w:val="30"/>
          <w:szCs w:val="30"/>
        </w:rPr>
      </w:pPr>
      <w:r>
        <w:rPr>
          <w:rFonts w:ascii="仿宋_GB2312" w:eastAsia="仿宋_GB2312" w:hAnsi="宋体" w:hint="eastAsia"/>
          <w:color w:val="auto"/>
          <w:sz w:val="30"/>
          <w:szCs w:val="30"/>
        </w:rPr>
        <w:t>（一）本行主要非自然人股东：</w:t>
      </w:r>
    </w:p>
    <w:p w:rsidR="005C402C" w:rsidRDefault="005C402C" w:rsidP="005C402C">
      <w:pPr>
        <w:pStyle w:val="ae"/>
        <w:widowControl w:val="0"/>
        <w:tabs>
          <w:tab w:val="left" w:pos="1701"/>
        </w:tabs>
        <w:adjustRightInd w:val="0"/>
        <w:snapToGrid w:val="0"/>
        <w:spacing w:before="0" w:after="0" w:line="360" w:lineRule="auto"/>
        <w:ind w:firstLineChars="200" w:firstLine="600"/>
        <w:jc w:val="both"/>
        <w:rPr>
          <w:rFonts w:ascii="仿宋_GB2312" w:eastAsia="仿宋_GB2312" w:hAnsi="宋体"/>
          <w:color w:val="auto"/>
          <w:sz w:val="30"/>
          <w:szCs w:val="30"/>
        </w:rPr>
      </w:pPr>
      <w:r>
        <w:rPr>
          <w:rFonts w:ascii="仿宋_GB2312" w:eastAsia="仿宋_GB2312" w:hAnsi="华文仿宋" w:hint="eastAsia"/>
          <w:color w:val="auto"/>
          <w:sz w:val="30"/>
          <w:szCs w:val="30"/>
        </w:rPr>
        <w:t>指持有或控制本行5%以上（含）股份或表决权，或持有资本总额或股份总额不足5%，但对本行经营管理有重大影响的非自然人股东。</w:t>
      </w:r>
    </w:p>
    <w:p w:rsidR="005C402C" w:rsidRDefault="005C402C" w:rsidP="005C402C">
      <w:pPr>
        <w:pStyle w:val="ae"/>
        <w:widowControl w:val="0"/>
        <w:tabs>
          <w:tab w:val="left" w:pos="1701"/>
        </w:tabs>
        <w:adjustRightInd w:val="0"/>
        <w:snapToGrid w:val="0"/>
        <w:spacing w:before="0" w:after="0" w:line="360" w:lineRule="auto"/>
        <w:ind w:firstLineChars="200" w:firstLine="600"/>
        <w:jc w:val="both"/>
        <w:rPr>
          <w:rFonts w:ascii="仿宋_GB2312" w:eastAsia="仿宋_GB2312" w:hAnsi="宋体"/>
          <w:color w:val="auto"/>
          <w:sz w:val="30"/>
          <w:szCs w:val="30"/>
        </w:rPr>
      </w:pPr>
      <w:r>
        <w:rPr>
          <w:rFonts w:ascii="仿宋_GB2312" w:eastAsia="仿宋_GB2312" w:hAnsi="宋体" w:hint="eastAsia"/>
          <w:color w:val="auto"/>
          <w:sz w:val="30"/>
          <w:szCs w:val="30"/>
        </w:rPr>
        <w:t>（二）与本行同受某一企业直接、间接控制的法人或其他组织。（与本行受同一国有资产管理机构控制而不存在其他关联方关系的法人</w:t>
      </w:r>
      <w:r>
        <w:rPr>
          <w:rFonts w:ascii="仿宋_GB2312" w:eastAsia="仿宋_GB2312" w:hAnsi="宋体"/>
          <w:color w:val="auto"/>
          <w:sz w:val="30"/>
          <w:szCs w:val="30"/>
        </w:rPr>
        <w:t>或其他组织</w:t>
      </w:r>
      <w:r>
        <w:rPr>
          <w:rFonts w:ascii="仿宋_GB2312" w:eastAsia="仿宋_GB2312" w:hAnsi="宋体" w:hint="eastAsia"/>
          <w:color w:val="auto"/>
          <w:sz w:val="30"/>
          <w:szCs w:val="30"/>
        </w:rPr>
        <w:t>除外；但</w:t>
      </w:r>
      <w:r>
        <w:rPr>
          <w:rFonts w:ascii="仿宋_GB2312" w:eastAsia="仿宋_GB2312" w:hAnsi="宋体"/>
          <w:color w:val="auto"/>
          <w:sz w:val="30"/>
          <w:szCs w:val="30"/>
        </w:rPr>
        <w:t>如果</w:t>
      </w:r>
      <w:r>
        <w:rPr>
          <w:rFonts w:ascii="仿宋_GB2312" w:eastAsia="仿宋_GB2312" w:hAnsi="宋体" w:hint="eastAsia"/>
          <w:color w:val="auto"/>
          <w:sz w:val="30"/>
          <w:szCs w:val="30"/>
        </w:rPr>
        <w:t>该法人或</w:t>
      </w:r>
      <w:r>
        <w:rPr>
          <w:rFonts w:ascii="仿宋_GB2312" w:eastAsia="仿宋_GB2312" w:hAnsi="宋体"/>
          <w:color w:val="auto"/>
          <w:sz w:val="30"/>
          <w:szCs w:val="30"/>
        </w:rPr>
        <w:t>其他组织</w:t>
      </w:r>
      <w:r>
        <w:rPr>
          <w:rFonts w:ascii="仿宋_GB2312" w:eastAsia="仿宋_GB2312" w:hAnsi="宋体" w:hint="eastAsia"/>
          <w:color w:val="auto"/>
          <w:sz w:val="30"/>
          <w:szCs w:val="30"/>
        </w:rPr>
        <w:t>的法定代表人、总经理或者半数以上的董事兼任本行董事、监事或者总行高级管理人员，</w:t>
      </w:r>
      <w:r>
        <w:rPr>
          <w:rFonts w:ascii="仿宋_GB2312" w:eastAsia="仿宋_GB2312" w:hAnsi="宋体"/>
          <w:color w:val="auto"/>
          <w:sz w:val="30"/>
          <w:szCs w:val="30"/>
        </w:rPr>
        <w:t>仍视为本行关联方</w:t>
      </w:r>
      <w:r>
        <w:rPr>
          <w:rFonts w:ascii="仿宋_GB2312" w:eastAsia="仿宋_GB2312" w:hAnsi="宋体" w:hint="eastAsia"/>
          <w:color w:val="auto"/>
          <w:sz w:val="30"/>
          <w:szCs w:val="30"/>
        </w:rPr>
        <w:t>）。</w:t>
      </w:r>
    </w:p>
    <w:p w:rsidR="005C402C" w:rsidRDefault="005C402C" w:rsidP="005C402C">
      <w:pPr>
        <w:pStyle w:val="ae"/>
        <w:widowControl w:val="0"/>
        <w:tabs>
          <w:tab w:val="left" w:pos="1701"/>
        </w:tabs>
        <w:adjustRightInd w:val="0"/>
        <w:snapToGrid w:val="0"/>
        <w:spacing w:before="0" w:after="0" w:line="360" w:lineRule="auto"/>
        <w:ind w:firstLineChars="200" w:firstLine="600"/>
        <w:jc w:val="both"/>
        <w:rPr>
          <w:rFonts w:ascii="仿宋_GB2312" w:eastAsia="仿宋_GB2312" w:hAnsi="宋体"/>
          <w:color w:val="auto"/>
          <w:sz w:val="30"/>
          <w:szCs w:val="30"/>
        </w:rPr>
      </w:pPr>
      <w:r>
        <w:rPr>
          <w:rFonts w:ascii="仿宋_GB2312" w:eastAsia="仿宋_GB2312" w:hAnsi="宋体" w:hint="eastAsia"/>
          <w:color w:val="auto"/>
          <w:sz w:val="30"/>
          <w:szCs w:val="30"/>
        </w:rPr>
        <w:t>（三）本行的内部人、主要自然人股东及其近亲属直接、间接、共同控制或可施加重大影响的除</w:t>
      </w:r>
      <w:r>
        <w:rPr>
          <w:rFonts w:ascii="仿宋_GB2312" w:eastAsia="仿宋_GB2312" w:hAnsi="宋体"/>
          <w:color w:val="auto"/>
          <w:sz w:val="30"/>
          <w:szCs w:val="30"/>
        </w:rPr>
        <w:t>本行外的</w:t>
      </w:r>
      <w:r>
        <w:rPr>
          <w:rFonts w:ascii="仿宋_GB2312" w:eastAsia="仿宋_GB2312" w:hAnsi="宋体" w:hint="eastAsia"/>
          <w:color w:val="auto"/>
          <w:sz w:val="30"/>
          <w:szCs w:val="30"/>
        </w:rPr>
        <w:t>法人或其他组织。</w:t>
      </w:r>
    </w:p>
    <w:p w:rsidR="005C402C" w:rsidRDefault="005C402C" w:rsidP="005C402C">
      <w:pPr>
        <w:pStyle w:val="ae"/>
        <w:widowControl w:val="0"/>
        <w:tabs>
          <w:tab w:val="left" w:pos="1701"/>
        </w:tabs>
        <w:adjustRightInd w:val="0"/>
        <w:snapToGrid w:val="0"/>
        <w:spacing w:before="0" w:after="0" w:line="360" w:lineRule="auto"/>
        <w:ind w:firstLineChars="200" w:firstLine="600"/>
        <w:jc w:val="both"/>
        <w:rPr>
          <w:rFonts w:ascii="仿宋_GB2312" w:eastAsia="仿宋_GB2312" w:hAnsi="宋体"/>
          <w:color w:val="auto"/>
          <w:sz w:val="30"/>
          <w:szCs w:val="30"/>
        </w:rPr>
      </w:pPr>
      <w:r>
        <w:rPr>
          <w:rFonts w:ascii="仿宋_GB2312" w:eastAsia="仿宋_GB2312" w:hAnsi="宋体" w:hint="eastAsia"/>
          <w:color w:val="auto"/>
          <w:sz w:val="30"/>
          <w:szCs w:val="30"/>
        </w:rPr>
        <w:t>（四）银保监会、证监会及</w:t>
      </w:r>
      <w:r>
        <w:rPr>
          <w:rFonts w:ascii="仿宋_GB2312" w:eastAsia="仿宋_GB2312" w:hAnsi="宋体"/>
          <w:color w:val="auto"/>
          <w:sz w:val="30"/>
          <w:szCs w:val="30"/>
        </w:rPr>
        <w:t>上交所、</w:t>
      </w:r>
      <w:r>
        <w:rPr>
          <w:rFonts w:ascii="仿宋_GB2312" w:eastAsia="仿宋_GB2312" w:hAnsi="宋体" w:hint="eastAsia"/>
          <w:color w:val="auto"/>
          <w:sz w:val="30"/>
          <w:szCs w:val="30"/>
        </w:rPr>
        <w:t>联交所</w:t>
      </w:r>
      <w:r>
        <w:rPr>
          <w:rFonts w:ascii="仿宋_GB2312" w:eastAsia="仿宋_GB2312" w:hAnsi="宋体"/>
          <w:color w:val="auto"/>
          <w:sz w:val="30"/>
          <w:szCs w:val="30"/>
        </w:rPr>
        <w:t>、会计准则等</w:t>
      </w:r>
      <w:r>
        <w:rPr>
          <w:rFonts w:ascii="仿宋_GB2312" w:eastAsia="仿宋_GB2312" w:hAnsi="宋体" w:hint="eastAsia"/>
          <w:color w:val="auto"/>
          <w:sz w:val="30"/>
          <w:szCs w:val="30"/>
        </w:rPr>
        <w:t>认定的其他法人或组织。</w:t>
      </w:r>
    </w:p>
    <w:p w:rsidR="005C402C" w:rsidRDefault="005C402C" w:rsidP="005C402C">
      <w:pPr>
        <w:pStyle w:val="ae"/>
        <w:widowControl w:val="0"/>
        <w:tabs>
          <w:tab w:val="left" w:pos="1701"/>
        </w:tabs>
        <w:adjustRightInd w:val="0"/>
        <w:snapToGrid w:val="0"/>
        <w:spacing w:before="0" w:after="0" w:line="360" w:lineRule="auto"/>
        <w:ind w:firstLine="0"/>
        <w:rPr>
          <w:rFonts w:ascii="仿宋_GB2312" w:eastAsia="仿宋_GB2312"/>
          <w:sz w:val="30"/>
        </w:rPr>
      </w:pPr>
      <w:r>
        <w:rPr>
          <w:rFonts w:ascii="仿宋_GB2312" w:eastAsia="仿宋_GB2312" w:hAnsi="宋体"/>
          <w:color w:val="auto"/>
          <w:sz w:val="30"/>
          <w:szCs w:val="30"/>
        </w:rPr>
        <w:t xml:space="preserve">    </w:t>
      </w:r>
      <w:r>
        <w:rPr>
          <w:rFonts w:ascii="仿宋_GB2312" w:eastAsia="仿宋_GB2312" w:hint="eastAsia"/>
          <w:b/>
          <w:sz w:val="30"/>
        </w:rPr>
        <w:t xml:space="preserve">第九条 </w:t>
      </w:r>
      <w:r>
        <w:rPr>
          <w:rFonts w:ascii="仿宋_GB2312" w:eastAsia="仿宋_GB2312" w:hint="eastAsia"/>
          <w:sz w:val="30"/>
        </w:rPr>
        <w:t>具有以下情形之一的自然人、法人或者其他组织，应纳入本行关联方管理：</w:t>
      </w:r>
    </w:p>
    <w:p w:rsidR="005C402C" w:rsidRDefault="005C402C" w:rsidP="005C402C">
      <w:pPr>
        <w:pStyle w:val="ae"/>
        <w:widowControl w:val="0"/>
        <w:tabs>
          <w:tab w:val="left" w:pos="1701"/>
        </w:tabs>
        <w:adjustRightInd w:val="0"/>
        <w:snapToGrid w:val="0"/>
        <w:spacing w:before="0" w:after="0" w:line="360" w:lineRule="auto"/>
        <w:ind w:firstLineChars="200" w:firstLine="600"/>
        <w:jc w:val="both"/>
        <w:rPr>
          <w:rFonts w:ascii="仿宋_GB2312" w:eastAsia="仿宋_GB2312" w:hAnsi="宋体"/>
          <w:color w:val="auto"/>
          <w:sz w:val="30"/>
          <w:szCs w:val="30"/>
        </w:rPr>
      </w:pPr>
      <w:r>
        <w:rPr>
          <w:rFonts w:ascii="仿宋_GB2312" w:eastAsia="仿宋_GB2312" w:hint="eastAsia"/>
          <w:sz w:val="30"/>
        </w:rPr>
        <w:t>（一）</w:t>
      </w:r>
      <w:r>
        <w:rPr>
          <w:rFonts w:ascii="仿宋_GB2312" w:eastAsia="仿宋_GB2312" w:hAnsi="宋体" w:hint="eastAsia"/>
          <w:color w:val="auto"/>
          <w:sz w:val="30"/>
          <w:szCs w:val="30"/>
        </w:rPr>
        <w:t>本行主要股东的控股股东、实际控制人、关联方、一致行动人、最终受益人。</w:t>
      </w:r>
    </w:p>
    <w:p w:rsidR="005C402C" w:rsidRDefault="005C402C" w:rsidP="005C402C">
      <w:pPr>
        <w:pStyle w:val="ae"/>
        <w:widowControl w:val="0"/>
        <w:tabs>
          <w:tab w:val="left" w:pos="1701"/>
        </w:tabs>
        <w:adjustRightInd w:val="0"/>
        <w:snapToGrid w:val="0"/>
        <w:spacing w:before="0" w:after="0" w:line="360" w:lineRule="auto"/>
        <w:ind w:firstLineChars="200" w:firstLine="600"/>
        <w:jc w:val="both"/>
        <w:rPr>
          <w:rFonts w:ascii="仿宋_GB2312" w:eastAsia="仿宋_GB2312" w:hAnsi="宋体"/>
          <w:color w:val="auto"/>
          <w:sz w:val="30"/>
          <w:szCs w:val="30"/>
        </w:rPr>
      </w:pPr>
      <w:r>
        <w:rPr>
          <w:rFonts w:ascii="仿宋_GB2312" w:eastAsia="仿宋_GB2312" w:hAnsi="宋体" w:hint="eastAsia"/>
          <w:color w:val="auto"/>
          <w:sz w:val="30"/>
          <w:szCs w:val="30"/>
        </w:rPr>
        <w:t>1.控股股东，是指根据《中华人民共和国公司法》规定，其出资额占有限责任公司资本总额百分之五十以上或者其持有的股份占股份有限公司股本总额百分之五十以上的股东；出资额或者持有股份的比例虽然不足百分之五十，但依其出资额或者持有的股份所享有的表决权已足以对股东会、股东大会决议产生重大影响的股东。</w:t>
      </w:r>
    </w:p>
    <w:p w:rsidR="005C402C" w:rsidRDefault="005C402C" w:rsidP="005C402C">
      <w:pPr>
        <w:pStyle w:val="ae"/>
        <w:widowControl w:val="0"/>
        <w:tabs>
          <w:tab w:val="left" w:pos="1701"/>
        </w:tabs>
        <w:adjustRightInd w:val="0"/>
        <w:snapToGrid w:val="0"/>
        <w:spacing w:before="0" w:after="0" w:line="360" w:lineRule="auto"/>
        <w:ind w:firstLineChars="200" w:firstLine="600"/>
        <w:jc w:val="both"/>
        <w:rPr>
          <w:rFonts w:ascii="仿宋_GB2312" w:eastAsia="仿宋_GB2312" w:hAnsi="宋体"/>
          <w:color w:val="auto"/>
          <w:sz w:val="30"/>
          <w:szCs w:val="30"/>
        </w:rPr>
      </w:pPr>
      <w:r>
        <w:rPr>
          <w:rFonts w:ascii="仿宋_GB2312" w:eastAsia="仿宋_GB2312" w:hAnsi="宋体" w:hint="eastAsia"/>
          <w:color w:val="auto"/>
          <w:sz w:val="30"/>
          <w:szCs w:val="30"/>
        </w:rPr>
        <w:lastRenderedPageBreak/>
        <w:t>2.实际控制人，是指根据《中华人民共和国公司法》规定，虽不是公司股东，但通过投资关系、协议或者其他安排能够实际支配公司行为的人。</w:t>
      </w:r>
    </w:p>
    <w:p w:rsidR="005C402C" w:rsidRDefault="005C402C" w:rsidP="005C402C">
      <w:pPr>
        <w:pStyle w:val="ae"/>
        <w:widowControl w:val="0"/>
        <w:tabs>
          <w:tab w:val="left" w:pos="1701"/>
        </w:tabs>
        <w:adjustRightInd w:val="0"/>
        <w:snapToGrid w:val="0"/>
        <w:spacing w:before="0" w:after="0" w:line="360" w:lineRule="auto"/>
        <w:ind w:firstLineChars="200" w:firstLine="600"/>
        <w:jc w:val="both"/>
        <w:rPr>
          <w:rFonts w:ascii="仿宋_GB2312" w:eastAsia="仿宋_GB2312" w:hAnsi="宋体"/>
          <w:color w:val="auto"/>
          <w:sz w:val="30"/>
          <w:szCs w:val="30"/>
        </w:rPr>
      </w:pPr>
      <w:r>
        <w:rPr>
          <w:rFonts w:ascii="仿宋_GB2312" w:eastAsia="仿宋_GB2312" w:hAnsi="宋体" w:hint="eastAsia"/>
          <w:color w:val="auto"/>
          <w:sz w:val="30"/>
          <w:szCs w:val="30"/>
        </w:rPr>
        <w:t>3.关联方，是指根据《企业会计准则第36号－关联方披露》规定，一方控制、共同控制另一方或对另一方施加重大影响，以及两方或两方以上同受一方控制、共同控制或重大影响的。但国家控制的企业之间不仅因为同受国家控股而具有关联关系。</w:t>
      </w:r>
    </w:p>
    <w:p w:rsidR="005C402C" w:rsidRDefault="005C402C" w:rsidP="005C402C">
      <w:pPr>
        <w:pStyle w:val="ae"/>
        <w:widowControl w:val="0"/>
        <w:tabs>
          <w:tab w:val="left" w:pos="1701"/>
        </w:tabs>
        <w:adjustRightInd w:val="0"/>
        <w:snapToGrid w:val="0"/>
        <w:spacing w:before="0" w:after="0" w:line="360" w:lineRule="auto"/>
        <w:ind w:firstLineChars="200" w:firstLine="600"/>
        <w:jc w:val="both"/>
        <w:rPr>
          <w:rFonts w:ascii="仿宋_GB2312" w:eastAsia="仿宋_GB2312" w:hAnsi="宋体"/>
          <w:color w:val="auto"/>
          <w:sz w:val="30"/>
          <w:szCs w:val="30"/>
        </w:rPr>
      </w:pPr>
      <w:r>
        <w:rPr>
          <w:rFonts w:ascii="仿宋_GB2312" w:eastAsia="仿宋_GB2312" w:hAnsi="宋体" w:hint="eastAsia"/>
          <w:color w:val="auto"/>
          <w:sz w:val="30"/>
          <w:szCs w:val="30"/>
        </w:rPr>
        <w:t>4.一致行动，是指投资者通过协议、其他安排，与其他投资者共同扩大其所能够支配的一个公司股份表决权数量的行为或者事实。达成一致行动的相关投资者，为一致行动人。</w:t>
      </w:r>
    </w:p>
    <w:p w:rsidR="005C402C" w:rsidRDefault="005C402C" w:rsidP="005C402C">
      <w:pPr>
        <w:pStyle w:val="ae"/>
        <w:widowControl w:val="0"/>
        <w:tabs>
          <w:tab w:val="left" w:pos="1701"/>
        </w:tabs>
        <w:adjustRightInd w:val="0"/>
        <w:snapToGrid w:val="0"/>
        <w:spacing w:before="0" w:after="0" w:line="360" w:lineRule="auto"/>
        <w:jc w:val="both"/>
        <w:rPr>
          <w:rFonts w:ascii="仿宋_GB2312" w:eastAsia="仿宋_GB2312" w:hAnsi="宋体"/>
          <w:color w:val="auto"/>
          <w:sz w:val="30"/>
          <w:szCs w:val="30"/>
        </w:rPr>
      </w:pPr>
      <w:r>
        <w:rPr>
          <w:rFonts w:ascii="仿宋_GB2312" w:eastAsia="仿宋_GB2312" w:hAnsi="宋体" w:hint="eastAsia"/>
          <w:color w:val="auto"/>
          <w:sz w:val="30"/>
          <w:szCs w:val="30"/>
        </w:rPr>
        <w:t xml:space="preserve"> 5.最终受益人，是指实际享有商业银行股权收益的人。</w:t>
      </w:r>
    </w:p>
    <w:p w:rsidR="005C402C" w:rsidRDefault="005C402C" w:rsidP="005C402C">
      <w:pPr>
        <w:pStyle w:val="ae"/>
        <w:widowControl w:val="0"/>
        <w:tabs>
          <w:tab w:val="left" w:pos="1701"/>
        </w:tabs>
        <w:adjustRightInd w:val="0"/>
        <w:snapToGrid w:val="0"/>
        <w:spacing w:before="0" w:after="0" w:line="360" w:lineRule="auto"/>
        <w:ind w:firstLineChars="200" w:firstLine="600"/>
        <w:jc w:val="both"/>
        <w:rPr>
          <w:rFonts w:ascii="仿宋_GB2312" w:eastAsia="仿宋_GB2312" w:hAnsi="宋体"/>
          <w:color w:val="auto"/>
          <w:sz w:val="30"/>
          <w:szCs w:val="30"/>
        </w:rPr>
      </w:pPr>
      <w:r>
        <w:rPr>
          <w:rFonts w:ascii="仿宋_GB2312" w:eastAsia="仿宋_GB2312" w:hAnsi="宋体" w:hint="eastAsia"/>
          <w:color w:val="auto"/>
          <w:sz w:val="30"/>
          <w:szCs w:val="30"/>
        </w:rPr>
        <w:t>（二）与本行或者本行关联方签署协议、作出安排，生效后符合本办法第七条</w:t>
      </w:r>
      <w:r>
        <w:rPr>
          <w:rFonts w:ascii="仿宋_GB2312" w:eastAsia="仿宋_GB2312" w:hAnsi="宋体"/>
          <w:color w:val="auto"/>
          <w:sz w:val="30"/>
          <w:szCs w:val="30"/>
        </w:rPr>
        <w:t>、第</w:t>
      </w:r>
      <w:r>
        <w:rPr>
          <w:rFonts w:ascii="仿宋_GB2312" w:eastAsia="仿宋_GB2312" w:hAnsi="宋体" w:hint="eastAsia"/>
          <w:color w:val="auto"/>
          <w:sz w:val="30"/>
          <w:szCs w:val="30"/>
        </w:rPr>
        <w:t>八</w:t>
      </w:r>
      <w:r>
        <w:rPr>
          <w:rFonts w:ascii="仿宋_GB2312" w:eastAsia="仿宋_GB2312" w:hAnsi="宋体"/>
          <w:color w:val="auto"/>
          <w:sz w:val="30"/>
          <w:szCs w:val="30"/>
        </w:rPr>
        <w:t>条和</w:t>
      </w:r>
      <w:r>
        <w:rPr>
          <w:rFonts w:ascii="仿宋_GB2312" w:eastAsia="仿宋_GB2312" w:hAnsi="宋体" w:hint="eastAsia"/>
          <w:color w:val="auto"/>
          <w:sz w:val="30"/>
          <w:szCs w:val="30"/>
        </w:rPr>
        <w:t>本条</w:t>
      </w:r>
      <w:r>
        <w:rPr>
          <w:rFonts w:ascii="仿宋_GB2312" w:eastAsia="仿宋_GB2312" w:hAnsi="宋体"/>
          <w:color w:val="auto"/>
          <w:sz w:val="30"/>
          <w:szCs w:val="30"/>
        </w:rPr>
        <w:t>第（一）款</w:t>
      </w:r>
      <w:r>
        <w:rPr>
          <w:rFonts w:ascii="仿宋_GB2312" w:eastAsia="仿宋_GB2312" w:hAnsi="宋体" w:hint="eastAsia"/>
          <w:color w:val="auto"/>
          <w:sz w:val="30"/>
          <w:szCs w:val="30"/>
        </w:rPr>
        <w:t>关联方认定条件的。</w:t>
      </w:r>
    </w:p>
    <w:p w:rsidR="005C402C" w:rsidRDefault="005C402C" w:rsidP="005C402C">
      <w:pPr>
        <w:pStyle w:val="ae"/>
        <w:widowControl w:val="0"/>
        <w:tabs>
          <w:tab w:val="left" w:pos="1701"/>
        </w:tabs>
        <w:adjustRightInd w:val="0"/>
        <w:snapToGrid w:val="0"/>
        <w:spacing w:before="0" w:after="0" w:line="360" w:lineRule="auto"/>
        <w:ind w:firstLineChars="200" w:firstLine="600"/>
        <w:jc w:val="both"/>
        <w:rPr>
          <w:rFonts w:ascii="仿宋_GB2312" w:eastAsia="仿宋_GB2312" w:hAnsi="宋体"/>
          <w:color w:val="auto"/>
          <w:sz w:val="30"/>
          <w:szCs w:val="30"/>
        </w:rPr>
      </w:pPr>
      <w:r>
        <w:rPr>
          <w:rFonts w:ascii="仿宋_GB2312" w:eastAsia="仿宋_GB2312" w:hAnsi="宋体" w:hint="eastAsia"/>
          <w:color w:val="auto"/>
          <w:sz w:val="30"/>
          <w:szCs w:val="30"/>
        </w:rPr>
        <w:t>（三）在过去12 个月内或者根据相关协议安排在未来12 个月内，符合证监会及上交所关联</w:t>
      </w:r>
      <w:r>
        <w:rPr>
          <w:rFonts w:ascii="仿宋_GB2312" w:eastAsia="仿宋_GB2312" w:hAnsi="宋体"/>
          <w:color w:val="auto"/>
          <w:sz w:val="30"/>
          <w:szCs w:val="30"/>
        </w:rPr>
        <w:t>法人和</w:t>
      </w:r>
      <w:r>
        <w:rPr>
          <w:rFonts w:ascii="仿宋_GB2312" w:eastAsia="仿宋_GB2312" w:hAnsi="宋体" w:hint="eastAsia"/>
          <w:color w:val="auto"/>
          <w:sz w:val="30"/>
          <w:szCs w:val="30"/>
        </w:rPr>
        <w:t>关联</w:t>
      </w:r>
      <w:r>
        <w:rPr>
          <w:rFonts w:ascii="仿宋_GB2312" w:eastAsia="仿宋_GB2312" w:hAnsi="宋体"/>
          <w:color w:val="auto"/>
          <w:sz w:val="30"/>
          <w:szCs w:val="30"/>
        </w:rPr>
        <w:t>自然人认定条件的</w:t>
      </w:r>
      <w:r>
        <w:rPr>
          <w:rFonts w:ascii="仿宋_GB2312" w:eastAsia="仿宋_GB2312" w:hAnsi="宋体" w:hint="eastAsia"/>
          <w:color w:val="auto"/>
          <w:sz w:val="30"/>
          <w:szCs w:val="30"/>
        </w:rPr>
        <w:t>。</w:t>
      </w:r>
    </w:p>
    <w:p w:rsidR="005C402C" w:rsidRDefault="005C402C" w:rsidP="005C402C">
      <w:pPr>
        <w:pStyle w:val="ae"/>
        <w:widowControl w:val="0"/>
        <w:tabs>
          <w:tab w:val="left" w:pos="1701"/>
        </w:tabs>
        <w:adjustRightInd w:val="0"/>
        <w:snapToGrid w:val="0"/>
        <w:spacing w:before="0" w:after="0" w:line="360" w:lineRule="auto"/>
        <w:ind w:firstLineChars="200" w:firstLine="600"/>
        <w:jc w:val="both"/>
        <w:rPr>
          <w:rFonts w:ascii="仿宋_GB2312" w:eastAsia="仿宋_GB2312" w:hAnsi="宋体"/>
          <w:color w:val="auto"/>
          <w:sz w:val="30"/>
          <w:szCs w:val="30"/>
        </w:rPr>
      </w:pPr>
      <w:r>
        <w:rPr>
          <w:rFonts w:ascii="仿宋_GB2312" w:eastAsia="仿宋_GB2312" w:hAnsi="宋体" w:hint="eastAsia"/>
          <w:color w:val="auto"/>
          <w:sz w:val="30"/>
          <w:szCs w:val="30"/>
        </w:rPr>
        <w:t>（四）银保监会、证监会及</w:t>
      </w:r>
      <w:r>
        <w:rPr>
          <w:rFonts w:ascii="仿宋_GB2312" w:eastAsia="仿宋_GB2312" w:hAnsi="宋体"/>
          <w:color w:val="auto"/>
          <w:sz w:val="30"/>
          <w:szCs w:val="30"/>
        </w:rPr>
        <w:t>上交所、联交所、会计准则等</w:t>
      </w:r>
      <w:r>
        <w:rPr>
          <w:rFonts w:ascii="仿宋_GB2312" w:eastAsia="仿宋_GB2312" w:hAnsi="宋体" w:hint="eastAsia"/>
          <w:color w:val="auto"/>
          <w:sz w:val="30"/>
          <w:szCs w:val="30"/>
        </w:rPr>
        <w:t xml:space="preserve">根据实质重于形式原则认定的其他与本行有特殊关系，可能或者已经造成本行对其利益倾斜的。 </w:t>
      </w:r>
    </w:p>
    <w:p w:rsidR="005C402C" w:rsidRDefault="005C402C" w:rsidP="005C402C">
      <w:pPr>
        <w:pStyle w:val="ae"/>
        <w:widowControl w:val="0"/>
        <w:tabs>
          <w:tab w:val="left" w:pos="1701"/>
        </w:tabs>
        <w:adjustRightInd w:val="0"/>
        <w:snapToGrid w:val="0"/>
        <w:spacing w:after="0" w:line="360" w:lineRule="auto"/>
        <w:ind w:firstLine="0"/>
        <w:jc w:val="center"/>
        <w:rPr>
          <w:rFonts w:ascii="仿宋_GB2312" w:eastAsia="仿宋_GB2312" w:hAnsi="宋体"/>
          <w:b/>
          <w:color w:val="auto"/>
          <w:sz w:val="30"/>
          <w:szCs w:val="30"/>
        </w:rPr>
      </w:pPr>
      <w:r>
        <w:rPr>
          <w:rFonts w:ascii="仿宋_GB2312" w:eastAsia="仿宋_GB2312" w:hAnsi="宋体" w:hint="eastAsia"/>
          <w:b/>
          <w:color w:val="auto"/>
          <w:sz w:val="30"/>
          <w:szCs w:val="30"/>
        </w:rPr>
        <w:t>第三章  关联方</w:t>
      </w:r>
      <w:r>
        <w:rPr>
          <w:rFonts w:ascii="仿宋_GB2312" w:eastAsia="仿宋_GB2312" w:hAnsi="宋体"/>
          <w:b/>
          <w:color w:val="auto"/>
          <w:sz w:val="30"/>
          <w:szCs w:val="30"/>
        </w:rPr>
        <w:t>信息管理</w:t>
      </w:r>
    </w:p>
    <w:p w:rsidR="005C402C" w:rsidRDefault="005C402C" w:rsidP="005C402C">
      <w:pPr>
        <w:pStyle w:val="ae"/>
        <w:widowControl w:val="0"/>
        <w:tabs>
          <w:tab w:val="left" w:pos="1701"/>
        </w:tabs>
        <w:adjustRightInd w:val="0"/>
        <w:snapToGrid w:val="0"/>
        <w:spacing w:before="0" w:after="0" w:line="360" w:lineRule="auto"/>
        <w:ind w:firstLineChars="200" w:firstLine="602"/>
        <w:jc w:val="both"/>
        <w:rPr>
          <w:rFonts w:ascii="仿宋_GB2312" w:eastAsia="仿宋_GB2312" w:hAnsi="宋体"/>
          <w:color w:val="auto"/>
          <w:sz w:val="30"/>
          <w:szCs w:val="30"/>
        </w:rPr>
      </w:pPr>
      <w:r>
        <w:rPr>
          <w:rFonts w:ascii="仿宋_GB2312" w:eastAsia="仿宋_GB2312" w:hAnsi="宋体" w:hint="eastAsia"/>
          <w:b/>
          <w:color w:val="auto"/>
          <w:sz w:val="30"/>
          <w:szCs w:val="30"/>
        </w:rPr>
        <w:t>第十条</w:t>
      </w:r>
      <w:r>
        <w:rPr>
          <w:rFonts w:ascii="仿宋_GB2312" w:eastAsia="仿宋_GB2312" w:hAnsi="宋体" w:hint="eastAsia"/>
          <w:color w:val="auto"/>
          <w:sz w:val="30"/>
          <w:szCs w:val="30"/>
        </w:rPr>
        <w:t xml:space="preserve">  本行</w:t>
      </w:r>
      <w:r>
        <w:rPr>
          <w:rFonts w:ascii="仿宋_GB2312" w:eastAsia="仿宋_GB2312" w:hAnsi="宋体"/>
          <w:color w:val="auto"/>
          <w:sz w:val="30"/>
          <w:szCs w:val="30"/>
        </w:rPr>
        <w:t>关联方信息的收集和更新按</w:t>
      </w:r>
      <w:r>
        <w:rPr>
          <w:rFonts w:ascii="仿宋_GB2312" w:eastAsia="仿宋_GB2312" w:hAnsi="宋体" w:hint="eastAsia"/>
          <w:color w:val="auto"/>
          <w:sz w:val="30"/>
          <w:szCs w:val="30"/>
        </w:rPr>
        <w:t>照</w:t>
      </w:r>
      <w:r>
        <w:rPr>
          <w:rFonts w:ascii="仿宋_GB2312" w:eastAsia="仿宋_GB2312" w:hAnsi="宋体"/>
          <w:color w:val="auto"/>
          <w:sz w:val="30"/>
          <w:szCs w:val="30"/>
        </w:rPr>
        <w:t>本办法第</w:t>
      </w:r>
      <w:r>
        <w:rPr>
          <w:rFonts w:ascii="仿宋_GB2312" w:eastAsia="仿宋_GB2312" w:hAnsi="宋体" w:hint="eastAsia"/>
          <w:color w:val="auto"/>
          <w:sz w:val="30"/>
          <w:szCs w:val="30"/>
        </w:rPr>
        <w:t>十一</w:t>
      </w:r>
      <w:r>
        <w:rPr>
          <w:rFonts w:ascii="仿宋_GB2312" w:eastAsia="仿宋_GB2312" w:hAnsi="宋体"/>
          <w:color w:val="auto"/>
          <w:sz w:val="30"/>
          <w:szCs w:val="30"/>
        </w:rPr>
        <w:t>条</w:t>
      </w:r>
      <w:r>
        <w:rPr>
          <w:rFonts w:ascii="仿宋_GB2312" w:eastAsia="仿宋_GB2312" w:hAnsi="宋体" w:hint="eastAsia"/>
          <w:color w:val="auto"/>
          <w:sz w:val="30"/>
          <w:szCs w:val="30"/>
        </w:rPr>
        <w:t>至第十六条</w:t>
      </w:r>
      <w:r>
        <w:rPr>
          <w:rFonts w:ascii="仿宋_GB2312" w:eastAsia="仿宋_GB2312" w:hAnsi="宋体"/>
          <w:color w:val="auto"/>
          <w:sz w:val="30"/>
          <w:szCs w:val="30"/>
        </w:rPr>
        <w:t>规定进行职责划分。</w:t>
      </w:r>
      <w:r>
        <w:rPr>
          <w:rFonts w:ascii="仿宋_GB2312" w:eastAsia="仿宋_GB2312" w:hAnsi="宋体" w:hint="eastAsia"/>
          <w:color w:val="auto"/>
          <w:sz w:val="30"/>
          <w:szCs w:val="30"/>
        </w:rPr>
        <w:t>关联</w:t>
      </w:r>
      <w:r>
        <w:rPr>
          <w:rFonts w:ascii="仿宋_GB2312" w:eastAsia="仿宋_GB2312" w:hAnsi="宋体"/>
          <w:color w:val="auto"/>
          <w:sz w:val="30"/>
          <w:szCs w:val="30"/>
        </w:rPr>
        <w:t>方信息收集和更新</w:t>
      </w:r>
      <w:r>
        <w:rPr>
          <w:rFonts w:ascii="仿宋_GB2312" w:eastAsia="仿宋_GB2312" w:hAnsi="宋体" w:hint="eastAsia"/>
          <w:color w:val="auto"/>
          <w:sz w:val="30"/>
          <w:szCs w:val="30"/>
        </w:rPr>
        <w:t>需</w:t>
      </w:r>
      <w:r>
        <w:rPr>
          <w:rFonts w:ascii="仿宋_GB2312" w:eastAsia="仿宋_GB2312" w:hAnsi="宋体"/>
          <w:color w:val="auto"/>
          <w:sz w:val="30"/>
          <w:szCs w:val="30"/>
        </w:rPr>
        <w:t>符合</w:t>
      </w:r>
      <w:r>
        <w:rPr>
          <w:rFonts w:ascii="仿宋_GB2312" w:eastAsia="仿宋_GB2312" w:hAnsi="宋体" w:hint="eastAsia"/>
          <w:color w:val="auto"/>
          <w:sz w:val="30"/>
          <w:szCs w:val="30"/>
        </w:rPr>
        <w:t>银保监会</w:t>
      </w:r>
      <w:r>
        <w:rPr>
          <w:rFonts w:ascii="仿宋_GB2312" w:eastAsia="仿宋_GB2312" w:hAnsi="宋体"/>
          <w:color w:val="auto"/>
          <w:sz w:val="30"/>
          <w:szCs w:val="30"/>
        </w:rPr>
        <w:t>、证监会及</w:t>
      </w:r>
      <w:r>
        <w:rPr>
          <w:rFonts w:ascii="仿宋_GB2312" w:eastAsia="仿宋_GB2312" w:hAnsi="宋体" w:hint="eastAsia"/>
          <w:color w:val="auto"/>
          <w:sz w:val="30"/>
          <w:szCs w:val="30"/>
        </w:rPr>
        <w:t>上交所、联交所、会计</w:t>
      </w:r>
      <w:r>
        <w:rPr>
          <w:rFonts w:ascii="仿宋_GB2312" w:eastAsia="仿宋_GB2312" w:hAnsi="宋体"/>
          <w:color w:val="auto"/>
          <w:sz w:val="30"/>
          <w:szCs w:val="30"/>
        </w:rPr>
        <w:t>准则等口径下</w:t>
      </w:r>
      <w:r>
        <w:rPr>
          <w:rFonts w:ascii="仿宋_GB2312" w:eastAsia="仿宋_GB2312" w:hAnsi="宋体" w:hint="eastAsia"/>
          <w:color w:val="auto"/>
          <w:sz w:val="30"/>
          <w:szCs w:val="30"/>
        </w:rPr>
        <w:t>相关</w:t>
      </w:r>
      <w:r>
        <w:rPr>
          <w:rFonts w:ascii="仿宋_GB2312" w:eastAsia="仿宋_GB2312" w:hAnsi="宋体"/>
          <w:color w:val="auto"/>
          <w:sz w:val="30"/>
          <w:szCs w:val="30"/>
        </w:rPr>
        <w:t>规定。</w:t>
      </w:r>
    </w:p>
    <w:p w:rsidR="005C402C" w:rsidRDefault="005C402C" w:rsidP="005C402C">
      <w:pPr>
        <w:pStyle w:val="ae"/>
        <w:widowControl w:val="0"/>
        <w:tabs>
          <w:tab w:val="left" w:pos="1701"/>
        </w:tabs>
        <w:adjustRightInd w:val="0"/>
        <w:snapToGrid w:val="0"/>
        <w:spacing w:before="0" w:after="0" w:line="360" w:lineRule="auto"/>
        <w:ind w:firstLineChars="200" w:firstLine="602"/>
        <w:jc w:val="both"/>
        <w:rPr>
          <w:rFonts w:ascii="仿宋_GB2312" w:eastAsia="仿宋_GB2312" w:hAnsi="宋体"/>
          <w:color w:val="auto"/>
          <w:sz w:val="30"/>
          <w:szCs w:val="30"/>
        </w:rPr>
      </w:pPr>
      <w:r>
        <w:rPr>
          <w:rFonts w:ascii="仿宋_GB2312" w:eastAsia="仿宋_GB2312" w:hAnsi="宋体" w:hint="eastAsia"/>
          <w:b/>
          <w:color w:val="auto"/>
          <w:sz w:val="30"/>
          <w:szCs w:val="30"/>
        </w:rPr>
        <w:lastRenderedPageBreak/>
        <w:t>第</w:t>
      </w:r>
      <w:r>
        <w:rPr>
          <w:rFonts w:ascii="仿宋_GB2312" w:eastAsia="仿宋_GB2312" w:hAnsi="宋体"/>
          <w:b/>
          <w:color w:val="auto"/>
          <w:sz w:val="30"/>
          <w:szCs w:val="30"/>
        </w:rPr>
        <w:t>十</w:t>
      </w:r>
      <w:r>
        <w:rPr>
          <w:rFonts w:ascii="仿宋_GB2312" w:eastAsia="仿宋_GB2312" w:hAnsi="宋体" w:hint="eastAsia"/>
          <w:b/>
          <w:color w:val="auto"/>
          <w:sz w:val="30"/>
          <w:szCs w:val="30"/>
        </w:rPr>
        <w:t>一</w:t>
      </w:r>
      <w:r>
        <w:rPr>
          <w:rFonts w:ascii="仿宋_GB2312" w:eastAsia="仿宋_GB2312" w:hAnsi="宋体"/>
          <w:b/>
          <w:color w:val="auto"/>
          <w:sz w:val="30"/>
          <w:szCs w:val="30"/>
        </w:rPr>
        <w:t>条</w:t>
      </w:r>
      <w:r>
        <w:rPr>
          <w:rFonts w:ascii="仿宋_GB2312" w:eastAsia="仿宋_GB2312" w:hAnsi="宋体" w:hint="eastAsia"/>
          <w:color w:val="auto"/>
          <w:sz w:val="30"/>
          <w:szCs w:val="30"/>
        </w:rPr>
        <w:t xml:space="preserve">  董事会办公室负责收集和更新的关联</w:t>
      </w:r>
      <w:r>
        <w:rPr>
          <w:rFonts w:ascii="仿宋_GB2312" w:eastAsia="仿宋_GB2312" w:hAnsi="宋体"/>
          <w:color w:val="auto"/>
          <w:sz w:val="30"/>
          <w:szCs w:val="30"/>
        </w:rPr>
        <w:t>方信息包括但不限于</w:t>
      </w:r>
      <w:r>
        <w:rPr>
          <w:rFonts w:ascii="仿宋_GB2312" w:eastAsia="仿宋_GB2312" w:hAnsi="宋体" w:hint="eastAsia"/>
          <w:color w:val="auto"/>
          <w:sz w:val="30"/>
          <w:szCs w:val="30"/>
        </w:rPr>
        <w:t>：</w:t>
      </w:r>
    </w:p>
    <w:p w:rsidR="005C402C" w:rsidRDefault="005C402C" w:rsidP="005C402C">
      <w:pPr>
        <w:pStyle w:val="ae"/>
        <w:widowControl w:val="0"/>
        <w:tabs>
          <w:tab w:val="left" w:pos="1701"/>
        </w:tabs>
        <w:adjustRightInd w:val="0"/>
        <w:snapToGrid w:val="0"/>
        <w:spacing w:after="0" w:line="360" w:lineRule="auto"/>
        <w:ind w:firstLineChars="200" w:firstLine="600"/>
        <w:jc w:val="both"/>
        <w:rPr>
          <w:rFonts w:ascii="仿宋_GB2312" w:eastAsia="仿宋_GB2312" w:hAnsi="宋体"/>
          <w:color w:val="auto"/>
          <w:sz w:val="30"/>
          <w:szCs w:val="30"/>
        </w:rPr>
      </w:pPr>
      <w:r>
        <w:rPr>
          <w:rFonts w:ascii="仿宋_GB2312" w:eastAsia="仿宋_GB2312" w:hAnsi="宋体" w:hint="eastAsia"/>
          <w:color w:val="auto"/>
          <w:sz w:val="30"/>
          <w:szCs w:val="30"/>
        </w:rPr>
        <w:t>（一）总行副行级及以上行领导及其近亲属，以及由前述人员直接、间接、共同控制或可施加重大影响的法人或其他组织；</w:t>
      </w:r>
    </w:p>
    <w:p w:rsidR="005C402C" w:rsidRDefault="005C402C" w:rsidP="005C402C">
      <w:pPr>
        <w:pStyle w:val="ae"/>
        <w:widowControl w:val="0"/>
        <w:tabs>
          <w:tab w:val="left" w:pos="1701"/>
        </w:tabs>
        <w:adjustRightInd w:val="0"/>
        <w:snapToGrid w:val="0"/>
        <w:spacing w:before="0" w:after="0" w:line="360" w:lineRule="auto"/>
        <w:ind w:firstLineChars="200" w:firstLine="600"/>
        <w:jc w:val="both"/>
        <w:rPr>
          <w:rFonts w:ascii="仿宋_GB2312" w:eastAsia="仿宋_GB2312" w:hAnsi="宋体"/>
          <w:color w:val="auto"/>
          <w:sz w:val="30"/>
          <w:szCs w:val="30"/>
        </w:rPr>
      </w:pPr>
      <w:r>
        <w:rPr>
          <w:rFonts w:ascii="仿宋_GB2312" w:eastAsia="仿宋_GB2312" w:hAnsi="宋体" w:hint="eastAsia"/>
          <w:color w:val="auto"/>
          <w:sz w:val="30"/>
          <w:szCs w:val="30"/>
        </w:rPr>
        <w:t>（二）本行</w:t>
      </w:r>
      <w:r>
        <w:rPr>
          <w:rFonts w:ascii="仿宋_GB2312" w:eastAsia="仿宋_GB2312" w:hAnsi="宋体"/>
          <w:color w:val="auto"/>
          <w:sz w:val="30"/>
          <w:szCs w:val="30"/>
        </w:rPr>
        <w:t>董事</w:t>
      </w:r>
      <w:r>
        <w:rPr>
          <w:rFonts w:ascii="仿宋_GB2312" w:eastAsia="仿宋_GB2312" w:hAnsi="宋体" w:hint="eastAsia"/>
          <w:color w:val="auto"/>
          <w:sz w:val="30"/>
          <w:szCs w:val="30"/>
        </w:rPr>
        <w:t>（董事长除外）及</w:t>
      </w:r>
      <w:r>
        <w:rPr>
          <w:rFonts w:ascii="仿宋_GB2312" w:eastAsia="仿宋_GB2312" w:hAnsi="宋体"/>
          <w:color w:val="auto"/>
          <w:sz w:val="30"/>
          <w:szCs w:val="30"/>
        </w:rPr>
        <w:t>其</w:t>
      </w:r>
      <w:r>
        <w:rPr>
          <w:rFonts w:ascii="仿宋_GB2312" w:eastAsia="仿宋_GB2312" w:hAnsi="宋体" w:hint="eastAsia"/>
          <w:color w:val="auto"/>
          <w:sz w:val="30"/>
          <w:szCs w:val="30"/>
        </w:rPr>
        <w:t>近亲属；由前述</w:t>
      </w:r>
      <w:r>
        <w:rPr>
          <w:rFonts w:ascii="仿宋_GB2312" w:eastAsia="仿宋_GB2312" w:hAnsi="宋体"/>
          <w:color w:val="auto"/>
          <w:sz w:val="30"/>
          <w:szCs w:val="30"/>
        </w:rPr>
        <w:t>人员</w:t>
      </w:r>
      <w:r>
        <w:rPr>
          <w:rFonts w:ascii="仿宋_GB2312" w:eastAsia="仿宋_GB2312" w:hAnsi="宋体" w:hint="eastAsia"/>
          <w:color w:val="auto"/>
          <w:sz w:val="30"/>
          <w:szCs w:val="30"/>
        </w:rPr>
        <w:t>直接、间接、共同控制或可</w:t>
      </w:r>
      <w:r>
        <w:rPr>
          <w:rFonts w:ascii="仿宋_GB2312" w:eastAsia="仿宋_GB2312" w:hAnsi="宋体"/>
          <w:color w:val="auto"/>
          <w:sz w:val="30"/>
          <w:szCs w:val="30"/>
        </w:rPr>
        <w:t>施加重大影响的法人或其他组织</w:t>
      </w:r>
      <w:r>
        <w:rPr>
          <w:rFonts w:ascii="仿宋_GB2312" w:eastAsia="仿宋_GB2312" w:hAnsi="宋体" w:hint="eastAsia"/>
          <w:color w:val="auto"/>
          <w:sz w:val="30"/>
          <w:szCs w:val="30"/>
        </w:rPr>
        <w:t>；</w:t>
      </w:r>
      <w:r>
        <w:rPr>
          <w:rFonts w:ascii="仿宋_GB2312" w:eastAsia="仿宋_GB2312" w:hAnsi="宋体"/>
          <w:color w:val="auto"/>
          <w:sz w:val="30"/>
          <w:szCs w:val="30"/>
        </w:rPr>
        <w:t xml:space="preserve"> </w:t>
      </w:r>
    </w:p>
    <w:p w:rsidR="005C402C" w:rsidRDefault="005C402C" w:rsidP="005C402C">
      <w:pPr>
        <w:pStyle w:val="ae"/>
        <w:widowControl w:val="0"/>
        <w:tabs>
          <w:tab w:val="left" w:pos="1701"/>
        </w:tabs>
        <w:adjustRightInd w:val="0"/>
        <w:snapToGrid w:val="0"/>
        <w:spacing w:before="0" w:after="0" w:line="360" w:lineRule="auto"/>
        <w:ind w:firstLineChars="200" w:firstLine="600"/>
        <w:jc w:val="both"/>
        <w:rPr>
          <w:rFonts w:ascii="仿宋_GB2312" w:eastAsia="仿宋_GB2312" w:hAnsi="宋体"/>
          <w:color w:val="auto"/>
          <w:sz w:val="30"/>
          <w:szCs w:val="30"/>
        </w:rPr>
      </w:pPr>
      <w:r>
        <w:rPr>
          <w:rFonts w:ascii="仿宋_GB2312" w:eastAsia="仿宋_GB2312" w:hAnsi="宋体" w:hint="eastAsia"/>
          <w:color w:val="auto"/>
          <w:sz w:val="30"/>
          <w:szCs w:val="30"/>
        </w:rPr>
        <w:t>（三）</w:t>
      </w:r>
      <w:r>
        <w:rPr>
          <w:rFonts w:ascii="仿宋_GB2312" w:eastAsia="仿宋_GB2312" w:hAnsi="宋体"/>
          <w:color w:val="auto"/>
          <w:sz w:val="30"/>
          <w:szCs w:val="30"/>
        </w:rPr>
        <w:t>主要股东以及主要股东的控股股东、实际控制人、关联方、一致行动人、最终受益人</w:t>
      </w:r>
      <w:r>
        <w:rPr>
          <w:rFonts w:ascii="仿宋_GB2312" w:eastAsia="仿宋_GB2312" w:hAnsi="宋体" w:hint="eastAsia"/>
          <w:color w:val="auto"/>
          <w:sz w:val="30"/>
          <w:szCs w:val="30"/>
        </w:rPr>
        <w:t>；</w:t>
      </w:r>
      <w:r>
        <w:rPr>
          <w:rFonts w:ascii="仿宋_GB2312" w:eastAsia="仿宋_GB2312" w:hAnsi="宋体"/>
          <w:color w:val="auto"/>
          <w:sz w:val="30"/>
          <w:szCs w:val="30"/>
        </w:rPr>
        <w:t>主要自然人股东</w:t>
      </w:r>
      <w:r>
        <w:rPr>
          <w:rFonts w:ascii="仿宋_GB2312" w:eastAsia="仿宋_GB2312" w:hAnsi="宋体" w:hint="eastAsia"/>
          <w:color w:val="auto"/>
          <w:sz w:val="30"/>
          <w:szCs w:val="30"/>
        </w:rPr>
        <w:t>近亲属，以及</w:t>
      </w:r>
      <w:r>
        <w:rPr>
          <w:rFonts w:ascii="仿宋_GB2312" w:eastAsia="仿宋_GB2312" w:hAnsi="宋体"/>
          <w:color w:val="auto"/>
          <w:sz w:val="30"/>
          <w:szCs w:val="30"/>
        </w:rPr>
        <w:t>由主要自然人股东</w:t>
      </w:r>
      <w:r>
        <w:rPr>
          <w:rFonts w:ascii="仿宋_GB2312" w:eastAsia="仿宋_GB2312" w:hAnsi="宋体" w:hint="eastAsia"/>
          <w:color w:val="auto"/>
          <w:sz w:val="30"/>
          <w:szCs w:val="30"/>
        </w:rPr>
        <w:t>及其近亲属直接、间接、共同控制或可</w:t>
      </w:r>
      <w:r>
        <w:rPr>
          <w:rFonts w:ascii="仿宋_GB2312" w:eastAsia="仿宋_GB2312" w:hAnsi="宋体"/>
          <w:color w:val="auto"/>
          <w:sz w:val="30"/>
          <w:szCs w:val="30"/>
        </w:rPr>
        <w:t>施加重大影响的法人或其他组织</w:t>
      </w:r>
      <w:r>
        <w:rPr>
          <w:rFonts w:ascii="仿宋_GB2312" w:eastAsia="仿宋_GB2312" w:hAnsi="宋体" w:hint="eastAsia"/>
          <w:color w:val="auto"/>
          <w:sz w:val="30"/>
          <w:szCs w:val="30"/>
        </w:rPr>
        <w:t>；</w:t>
      </w:r>
    </w:p>
    <w:p w:rsidR="005C402C" w:rsidRDefault="005C402C" w:rsidP="005C402C">
      <w:pPr>
        <w:pStyle w:val="ae"/>
        <w:widowControl w:val="0"/>
        <w:tabs>
          <w:tab w:val="left" w:pos="1701"/>
        </w:tabs>
        <w:adjustRightInd w:val="0"/>
        <w:snapToGrid w:val="0"/>
        <w:spacing w:before="0" w:after="0" w:line="360" w:lineRule="auto"/>
        <w:ind w:firstLineChars="200" w:firstLine="600"/>
        <w:jc w:val="both"/>
        <w:rPr>
          <w:rFonts w:ascii="仿宋_GB2312" w:eastAsia="仿宋_GB2312" w:hAnsi="宋体"/>
          <w:color w:val="auto"/>
          <w:sz w:val="30"/>
          <w:szCs w:val="30"/>
        </w:rPr>
      </w:pPr>
      <w:r>
        <w:rPr>
          <w:rFonts w:ascii="仿宋_GB2312" w:eastAsia="仿宋_GB2312" w:hAnsi="宋体" w:hint="eastAsia"/>
          <w:color w:val="auto"/>
          <w:sz w:val="30"/>
          <w:szCs w:val="30"/>
        </w:rPr>
        <w:t>（四）</w:t>
      </w:r>
      <w:r>
        <w:rPr>
          <w:rFonts w:ascii="仿宋_GB2312" w:eastAsia="仿宋_GB2312" w:hAnsi="宋体"/>
          <w:color w:val="auto"/>
          <w:sz w:val="30"/>
          <w:szCs w:val="30"/>
        </w:rPr>
        <w:t>直接</w:t>
      </w:r>
      <w:r>
        <w:rPr>
          <w:rFonts w:ascii="仿宋_GB2312" w:eastAsia="仿宋_GB2312" w:hAnsi="宋体" w:hint="eastAsia"/>
          <w:color w:val="auto"/>
          <w:sz w:val="30"/>
          <w:szCs w:val="30"/>
        </w:rPr>
        <w:t>、</w:t>
      </w:r>
      <w:r>
        <w:rPr>
          <w:rFonts w:ascii="仿宋_GB2312" w:eastAsia="仿宋_GB2312" w:hAnsi="宋体"/>
          <w:color w:val="auto"/>
          <w:sz w:val="30"/>
          <w:szCs w:val="30"/>
        </w:rPr>
        <w:t>间接</w:t>
      </w:r>
      <w:r>
        <w:rPr>
          <w:rFonts w:ascii="仿宋_GB2312" w:eastAsia="仿宋_GB2312" w:hAnsi="宋体" w:hint="eastAsia"/>
          <w:color w:val="auto"/>
          <w:sz w:val="30"/>
          <w:szCs w:val="30"/>
        </w:rPr>
        <w:t>、</w:t>
      </w:r>
      <w:r>
        <w:rPr>
          <w:rFonts w:ascii="仿宋_GB2312" w:eastAsia="仿宋_GB2312" w:hAnsi="宋体"/>
          <w:color w:val="auto"/>
          <w:sz w:val="30"/>
          <w:szCs w:val="30"/>
        </w:rPr>
        <w:t>共同</w:t>
      </w:r>
      <w:r>
        <w:rPr>
          <w:rFonts w:ascii="仿宋_GB2312" w:eastAsia="仿宋_GB2312" w:hAnsi="宋体" w:hint="eastAsia"/>
          <w:color w:val="auto"/>
          <w:sz w:val="30"/>
          <w:szCs w:val="30"/>
        </w:rPr>
        <w:t>控制</w:t>
      </w:r>
      <w:r>
        <w:rPr>
          <w:rFonts w:ascii="仿宋_GB2312" w:eastAsia="仿宋_GB2312" w:hAnsi="宋体"/>
          <w:color w:val="auto"/>
          <w:sz w:val="30"/>
          <w:szCs w:val="30"/>
        </w:rPr>
        <w:t>本行</w:t>
      </w:r>
      <w:r>
        <w:rPr>
          <w:rFonts w:ascii="仿宋_GB2312" w:eastAsia="仿宋_GB2312" w:hAnsi="宋体" w:hint="eastAsia"/>
          <w:color w:val="auto"/>
          <w:sz w:val="30"/>
          <w:szCs w:val="30"/>
        </w:rPr>
        <w:t>的法人或其他组织及其控股</w:t>
      </w:r>
      <w:r>
        <w:rPr>
          <w:rFonts w:ascii="仿宋_GB2312" w:eastAsia="仿宋_GB2312" w:hAnsi="宋体"/>
          <w:color w:val="auto"/>
          <w:sz w:val="30"/>
          <w:szCs w:val="30"/>
        </w:rPr>
        <w:t>自然人股东、董事、监事</w:t>
      </w:r>
      <w:r>
        <w:rPr>
          <w:rFonts w:ascii="仿宋_GB2312" w:eastAsia="仿宋_GB2312" w:hAnsi="宋体" w:hint="eastAsia"/>
          <w:color w:val="auto"/>
          <w:sz w:val="30"/>
          <w:szCs w:val="30"/>
        </w:rPr>
        <w:t>和</w:t>
      </w:r>
      <w:r>
        <w:rPr>
          <w:rFonts w:ascii="仿宋_GB2312" w:eastAsia="仿宋_GB2312" w:hAnsi="宋体"/>
          <w:color w:val="auto"/>
          <w:sz w:val="30"/>
          <w:szCs w:val="30"/>
        </w:rPr>
        <w:t>高级</w:t>
      </w:r>
      <w:r>
        <w:rPr>
          <w:rFonts w:ascii="仿宋_GB2312" w:eastAsia="仿宋_GB2312" w:hAnsi="宋体" w:hint="eastAsia"/>
          <w:color w:val="auto"/>
          <w:sz w:val="30"/>
          <w:szCs w:val="30"/>
        </w:rPr>
        <w:t>管理</w:t>
      </w:r>
      <w:r>
        <w:rPr>
          <w:rFonts w:ascii="仿宋_GB2312" w:eastAsia="仿宋_GB2312" w:hAnsi="宋体"/>
          <w:color w:val="auto"/>
          <w:sz w:val="30"/>
          <w:szCs w:val="30"/>
        </w:rPr>
        <w:t>人员</w:t>
      </w:r>
      <w:r>
        <w:rPr>
          <w:rFonts w:ascii="仿宋_GB2312" w:eastAsia="仿宋_GB2312" w:hAnsi="宋体" w:hint="eastAsia"/>
          <w:color w:val="auto"/>
          <w:sz w:val="30"/>
          <w:szCs w:val="30"/>
        </w:rPr>
        <w:t>；以及</w:t>
      </w:r>
      <w:r>
        <w:rPr>
          <w:rFonts w:ascii="仿宋_GB2312" w:eastAsia="仿宋_GB2312" w:hAnsi="宋体"/>
          <w:color w:val="auto"/>
          <w:sz w:val="30"/>
          <w:szCs w:val="30"/>
        </w:rPr>
        <w:t>由</w:t>
      </w:r>
      <w:r>
        <w:rPr>
          <w:rFonts w:ascii="仿宋_GB2312" w:eastAsia="仿宋_GB2312" w:hAnsi="宋体" w:hint="eastAsia"/>
          <w:color w:val="auto"/>
          <w:sz w:val="30"/>
          <w:szCs w:val="30"/>
        </w:rPr>
        <w:t>前述主体直接、</w:t>
      </w:r>
      <w:r>
        <w:rPr>
          <w:rFonts w:ascii="仿宋_GB2312" w:eastAsia="仿宋_GB2312" w:hAnsi="宋体"/>
          <w:color w:val="auto"/>
          <w:sz w:val="30"/>
          <w:szCs w:val="30"/>
        </w:rPr>
        <w:t>间接</w:t>
      </w:r>
      <w:r>
        <w:rPr>
          <w:rFonts w:ascii="仿宋_GB2312" w:eastAsia="仿宋_GB2312" w:hAnsi="宋体" w:hint="eastAsia"/>
          <w:color w:val="auto"/>
          <w:sz w:val="30"/>
          <w:szCs w:val="30"/>
        </w:rPr>
        <w:t>、</w:t>
      </w:r>
      <w:r>
        <w:rPr>
          <w:rFonts w:ascii="仿宋_GB2312" w:eastAsia="仿宋_GB2312" w:hAnsi="宋体"/>
          <w:color w:val="auto"/>
          <w:sz w:val="30"/>
          <w:szCs w:val="30"/>
        </w:rPr>
        <w:t>共同控制，或</w:t>
      </w:r>
      <w:r>
        <w:rPr>
          <w:rFonts w:ascii="仿宋_GB2312" w:eastAsia="仿宋_GB2312" w:hAnsi="宋体" w:hint="eastAsia"/>
          <w:color w:val="auto"/>
          <w:sz w:val="30"/>
          <w:szCs w:val="30"/>
        </w:rPr>
        <w:t>可施加</w:t>
      </w:r>
      <w:r>
        <w:rPr>
          <w:rFonts w:ascii="仿宋_GB2312" w:eastAsia="仿宋_GB2312" w:hAnsi="宋体"/>
          <w:color w:val="auto"/>
          <w:sz w:val="30"/>
          <w:szCs w:val="30"/>
        </w:rPr>
        <w:t>重大影响</w:t>
      </w:r>
      <w:r>
        <w:rPr>
          <w:rFonts w:ascii="仿宋_GB2312" w:eastAsia="仿宋_GB2312" w:hAnsi="宋体" w:hint="eastAsia"/>
          <w:color w:val="auto"/>
          <w:sz w:val="30"/>
          <w:szCs w:val="30"/>
        </w:rPr>
        <w:t>的法人或其他组织；</w:t>
      </w:r>
    </w:p>
    <w:p w:rsidR="005C402C" w:rsidRDefault="005C402C" w:rsidP="005C402C">
      <w:pPr>
        <w:pStyle w:val="ae"/>
        <w:widowControl w:val="0"/>
        <w:tabs>
          <w:tab w:val="left" w:pos="1701"/>
        </w:tabs>
        <w:adjustRightInd w:val="0"/>
        <w:snapToGrid w:val="0"/>
        <w:spacing w:before="0" w:after="0" w:line="360" w:lineRule="auto"/>
        <w:ind w:firstLineChars="200" w:firstLine="600"/>
        <w:jc w:val="both"/>
        <w:rPr>
          <w:rFonts w:ascii="仿宋_GB2312" w:eastAsia="仿宋_GB2312" w:hAnsi="宋体"/>
          <w:color w:val="auto"/>
          <w:sz w:val="30"/>
          <w:szCs w:val="30"/>
        </w:rPr>
      </w:pPr>
      <w:r>
        <w:rPr>
          <w:rFonts w:ascii="仿宋_GB2312" w:eastAsia="仿宋_GB2312" w:hAnsi="宋体" w:hint="eastAsia"/>
          <w:color w:val="auto"/>
          <w:sz w:val="30"/>
          <w:szCs w:val="30"/>
        </w:rPr>
        <w:t>（五）在法人或其他组织成为本行主要非自然人股东之日起1个工作日内向总行公司业务部通报，并在1</w:t>
      </w:r>
      <w:r>
        <w:rPr>
          <w:rFonts w:ascii="仿宋_GB2312" w:eastAsia="仿宋_GB2312" w:hAnsi="宋体"/>
          <w:color w:val="auto"/>
          <w:sz w:val="30"/>
          <w:szCs w:val="30"/>
        </w:rPr>
        <w:t>0</w:t>
      </w:r>
      <w:r>
        <w:rPr>
          <w:rFonts w:ascii="仿宋_GB2312" w:eastAsia="仿宋_GB2312" w:hAnsi="宋体" w:hint="eastAsia"/>
          <w:color w:val="auto"/>
          <w:sz w:val="30"/>
          <w:szCs w:val="30"/>
        </w:rPr>
        <w:t>个工作日内向主要非自然人股东收集下列信息：</w:t>
      </w:r>
    </w:p>
    <w:p w:rsidR="005C402C" w:rsidRDefault="005C402C" w:rsidP="005C402C">
      <w:pPr>
        <w:pStyle w:val="ae"/>
        <w:widowControl w:val="0"/>
        <w:tabs>
          <w:tab w:val="left" w:pos="1701"/>
        </w:tabs>
        <w:adjustRightInd w:val="0"/>
        <w:snapToGrid w:val="0"/>
        <w:spacing w:before="0" w:after="0" w:line="360" w:lineRule="auto"/>
        <w:ind w:firstLineChars="200" w:firstLine="600"/>
        <w:jc w:val="both"/>
        <w:rPr>
          <w:rFonts w:ascii="仿宋_GB2312" w:eastAsia="仿宋_GB2312" w:hAnsi="宋体"/>
          <w:color w:val="auto"/>
          <w:sz w:val="30"/>
          <w:szCs w:val="30"/>
        </w:rPr>
      </w:pPr>
      <w:r>
        <w:rPr>
          <w:rFonts w:ascii="仿宋_GB2312" w:eastAsia="仿宋_GB2312" w:hAnsi="宋体" w:hint="eastAsia"/>
          <w:color w:val="auto"/>
          <w:sz w:val="30"/>
          <w:szCs w:val="30"/>
        </w:rPr>
        <w:t>1.控股自然人股东、董事、关键管理人员；</w:t>
      </w:r>
    </w:p>
    <w:p w:rsidR="005C402C" w:rsidRDefault="005C402C" w:rsidP="005C402C">
      <w:pPr>
        <w:pStyle w:val="ae"/>
        <w:widowControl w:val="0"/>
        <w:tabs>
          <w:tab w:val="left" w:pos="1701"/>
        </w:tabs>
        <w:adjustRightInd w:val="0"/>
        <w:snapToGrid w:val="0"/>
        <w:spacing w:before="0" w:after="0" w:line="360" w:lineRule="auto"/>
        <w:ind w:firstLineChars="200" w:firstLine="600"/>
        <w:jc w:val="both"/>
        <w:rPr>
          <w:rFonts w:ascii="仿宋_GB2312" w:eastAsia="仿宋_GB2312" w:hAnsi="宋体"/>
          <w:color w:val="auto"/>
          <w:sz w:val="30"/>
          <w:szCs w:val="30"/>
        </w:rPr>
      </w:pPr>
      <w:r>
        <w:rPr>
          <w:rFonts w:ascii="仿宋_GB2312" w:eastAsia="仿宋_GB2312" w:hAnsi="宋体" w:hint="eastAsia"/>
          <w:color w:val="auto"/>
          <w:sz w:val="30"/>
          <w:szCs w:val="30"/>
        </w:rPr>
        <w:t>2.控股非自然人股东；</w:t>
      </w:r>
    </w:p>
    <w:p w:rsidR="005C402C" w:rsidRDefault="005C402C" w:rsidP="005C402C">
      <w:pPr>
        <w:pStyle w:val="ae"/>
        <w:widowControl w:val="0"/>
        <w:tabs>
          <w:tab w:val="left" w:pos="1701"/>
        </w:tabs>
        <w:adjustRightInd w:val="0"/>
        <w:snapToGrid w:val="0"/>
        <w:spacing w:before="0" w:after="0" w:line="360" w:lineRule="auto"/>
        <w:ind w:firstLineChars="200" w:firstLine="600"/>
        <w:jc w:val="both"/>
        <w:rPr>
          <w:rFonts w:ascii="仿宋_GB2312" w:eastAsia="仿宋_GB2312" w:hAnsi="宋体"/>
          <w:color w:val="auto"/>
          <w:sz w:val="30"/>
          <w:szCs w:val="30"/>
        </w:rPr>
      </w:pPr>
      <w:r>
        <w:rPr>
          <w:rFonts w:ascii="仿宋_GB2312" w:eastAsia="仿宋_GB2312" w:hAnsi="宋体" w:hint="eastAsia"/>
          <w:color w:val="auto"/>
          <w:sz w:val="30"/>
          <w:szCs w:val="30"/>
        </w:rPr>
        <w:t>3.受其直接、间接、共同控制的法人或其他组织及其董事、关键管理人员。</w:t>
      </w:r>
    </w:p>
    <w:p w:rsidR="005C402C" w:rsidRDefault="005C402C" w:rsidP="005C402C">
      <w:pPr>
        <w:pStyle w:val="ae"/>
        <w:widowControl w:val="0"/>
        <w:tabs>
          <w:tab w:val="left" w:pos="1701"/>
        </w:tabs>
        <w:adjustRightInd w:val="0"/>
        <w:snapToGrid w:val="0"/>
        <w:spacing w:before="0" w:after="0" w:line="360" w:lineRule="auto"/>
        <w:ind w:firstLineChars="200" w:firstLine="600"/>
        <w:jc w:val="both"/>
        <w:rPr>
          <w:rFonts w:ascii="仿宋_GB2312" w:eastAsia="仿宋_GB2312" w:hAnsi="宋体"/>
          <w:color w:val="auto"/>
          <w:sz w:val="30"/>
          <w:szCs w:val="30"/>
        </w:rPr>
      </w:pPr>
      <w:r>
        <w:rPr>
          <w:rFonts w:ascii="仿宋_GB2312" w:eastAsia="仿宋_GB2312" w:hAnsi="宋体" w:hint="eastAsia"/>
          <w:color w:val="auto"/>
          <w:sz w:val="30"/>
          <w:szCs w:val="30"/>
        </w:rPr>
        <w:t>4.上述第1条信息如发生变动，应在变动后的1</w:t>
      </w:r>
      <w:r>
        <w:rPr>
          <w:rFonts w:ascii="仿宋_GB2312" w:eastAsia="仿宋_GB2312" w:hAnsi="宋体"/>
          <w:color w:val="auto"/>
          <w:sz w:val="30"/>
          <w:szCs w:val="30"/>
        </w:rPr>
        <w:t>0</w:t>
      </w:r>
      <w:r>
        <w:rPr>
          <w:rFonts w:ascii="仿宋_GB2312" w:eastAsia="仿宋_GB2312" w:hAnsi="宋体" w:hint="eastAsia"/>
          <w:color w:val="auto"/>
          <w:sz w:val="30"/>
          <w:szCs w:val="30"/>
        </w:rPr>
        <w:t>个工作日内收集更新信息。</w:t>
      </w:r>
    </w:p>
    <w:p w:rsidR="005C402C" w:rsidRDefault="005C402C" w:rsidP="005C402C">
      <w:pPr>
        <w:pStyle w:val="ae"/>
        <w:widowControl w:val="0"/>
        <w:tabs>
          <w:tab w:val="left" w:pos="1701"/>
        </w:tabs>
        <w:adjustRightInd w:val="0"/>
        <w:snapToGrid w:val="0"/>
        <w:spacing w:before="0" w:after="0" w:line="360" w:lineRule="auto"/>
        <w:ind w:firstLineChars="200" w:firstLine="600"/>
        <w:jc w:val="both"/>
        <w:rPr>
          <w:rFonts w:ascii="仿宋_GB2312" w:eastAsia="仿宋_GB2312" w:hAnsi="宋体"/>
          <w:color w:val="auto"/>
          <w:sz w:val="30"/>
          <w:szCs w:val="30"/>
        </w:rPr>
      </w:pPr>
      <w:r>
        <w:rPr>
          <w:rFonts w:ascii="仿宋_GB2312" w:eastAsia="仿宋_GB2312" w:hAnsi="宋体" w:hint="eastAsia"/>
          <w:color w:val="auto"/>
          <w:sz w:val="30"/>
          <w:szCs w:val="30"/>
        </w:rPr>
        <w:t>董事会办公室将关联方信息提交董事会审议，根据审定名单建立关联方数据库，并在行内公布；对收到收集或更新的关联方</w:t>
      </w:r>
      <w:r>
        <w:rPr>
          <w:rFonts w:ascii="仿宋_GB2312" w:eastAsia="仿宋_GB2312" w:hAnsi="宋体" w:hint="eastAsia"/>
          <w:color w:val="auto"/>
          <w:sz w:val="30"/>
          <w:szCs w:val="30"/>
        </w:rPr>
        <w:lastRenderedPageBreak/>
        <w:t>信息后，负责更新本行在上交所网站关联方信息。</w:t>
      </w:r>
    </w:p>
    <w:p w:rsidR="005C402C" w:rsidRDefault="005C402C" w:rsidP="005C402C">
      <w:pPr>
        <w:pStyle w:val="ae"/>
        <w:widowControl w:val="0"/>
        <w:tabs>
          <w:tab w:val="left" w:pos="1701"/>
        </w:tabs>
        <w:adjustRightInd w:val="0"/>
        <w:snapToGrid w:val="0"/>
        <w:spacing w:before="0" w:after="0" w:line="360" w:lineRule="auto"/>
        <w:ind w:firstLineChars="200" w:firstLine="602"/>
        <w:jc w:val="both"/>
        <w:rPr>
          <w:rFonts w:ascii="仿宋_GB2312" w:eastAsia="仿宋_GB2312" w:hAnsi="宋体"/>
          <w:color w:val="auto"/>
          <w:sz w:val="30"/>
          <w:szCs w:val="30"/>
        </w:rPr>
      </w:pPr>
      <w:r>
        <w:rPr>
          <w:rFonts w:ascii="仿宋_GB2312" w:eastAsia="仿宋_GB2312" w:hAnsi="宋体" w:hint="eastAsia"/>
          <w:b/>
          <w:color w:val="auto"/>
          <w:sz w:val="30"/>
          <w:szCs w:val="30"/>
        </w:rPr>
        <w:t>第</w:t>
      </w:r>
      <w:r>
        <w:rPr>
          <w:rFonts w:ascii="仿宋_GB2312" w:eastAsia="仿宋_GB2312" w:hAnsi="宋体"/>
          <w:b/>
          <w:color w:val="auto"/>
          <w:sz w:val="30"/>
          <w:szCs w:val="30"/>
        </w:rPr>
        <w:t>十</w:t>
      </w:r>
      <w:r>
        <w:rPr>
          <w:rFonts w:ascii="仿宋_GB2312" w:eastAsia="仿宋_GB2312" w:hAnsi="宋体" w:hint="eastAsia"/>
          <w:b/>
          <w:color w:val="auto"/>
          <w:sz w:val="30"/>
          <w:szCs w:val="30"/>
        </w:rPr>
        <w:t>二</w:t>
      </w:r>
      <w:r>
        <w:rPr>
          <w:rFonts w:ascii="仿宋_GB2312" w:eastAsia="仿宋_GB2312" w:hAnsi="宋体"/>
          <w:b/>
          <w:color w:val="auto"/>
          <w:sz w:val="30"/>
          <w:szCs w:val="30"/>
        </w:rPr>
        <w:t>条</w:t>
      </w:r>
      <w:r>
        <w:rPr>
          <w:rFonts w:ascii="仿宋_GB2312" w:eastAsia="仿宋_GB2312" w:hAnsi="宋体" w:hint="eastAsia"/>
          <w:color w:val="auto"/>
          <w:sz w:val="30"/>
          <w:szCs w:val="30"/>
        </w:rPr>
        <w:t xml:space="preserve">  监事会办公室负责收集和更新的关联方信息包括但不限于：本行监</w:t>
      </w:r>
      <w:r>
        <w:rPr>
          <w:rFonts w:ascii="仿宋_GB2312" w:eastAsia="仿宋_GB2312" w:hAnsi="宋体"/>
          <w:color w:val="auto"/>
          <w:sz w:val="30"/>
          <w:szCs w:val="30"/>
        </w:rPr>
        <w:t>事</w:t>
      </w:r>
      <w:r>
        <w:rPr>
          <w:rFonts w:ascii="仿宋_GB2312" w:eastAsia="仿宋_GB2312" w:hAnsi="宋体" w:hint="eastAsia"/>
          <w:color w:val="auto"/>
          <w:sz w:val="30"/>
          <w:szCs w:val="30"/>
        </w:rPr>
        <w:t>（监事长</w:t>
      </w:r>
      <w:r>
        <w:rPr>
          <w:rFonts w:ascii="仿宋_GB2312" w:eastAsia="仿宋_GB2312" w:hAnsi="宋体"/>
          <w:color w:val="auto"/>
          <w:sz w:val="30"/>
          <w:szCs w:val="30"/>
        </w:rPr>
        <w:t>除外</w:t>
      </w:r>
      <w:r>
        <w:rPr>
          <w:rFonts w:ascii="仿宋_GB2312" w:eastAsia="仿宋_GB2312" w:hAnsi="宋体" w:hint="eastAsia"/>
          <w:color w:val="auto"/>
          <w:sz w:val="30"/>
          <w:szCs w:val="30"/>
        </w:rPr>
        <w:t>）及</w:t>
      </w:r>
      <w:r>
        <w:rPr>
          <w:rFonts w:ascii="仿宋_GB2312" w:eastAsia="仿宋_GB2312" w:hAnsi="宋体"/>
          <w:color w:val="auto"/>
          <w:sz w:val="30"/>
          <w:szCs w:val="30"/>
        </w:rPr>
        <w:t>其</w:t>
      </w:r>
      <w:r>
        <w:rPr>
          <w:rFonts w:ascii="仿宋_GB2312" w:eastAsia="仿宋_GB2312" w:hAnsi="宋体" w:hint="eastAsia"/>
          <w:color w:val="auto"/>
          <w:sz w:val="30"/>
          <w:szCs w:val="30"/>
        </w:rPr>
        <w:t>近亲属；由前述</w:t>
      </w:r>
      <w:r>
        <w:rPr>
          <w:rFonts w:ascii="仿宋_GB2312" w:eastAsia="仿宋_GB2312" w:hAnsi="宋体"/>
          <w:color w:val="auto"/>
          <w:sz w:val="30"/>
          <w:szCs w:val="30"/>
        </w:rPr>
        <w:t>人员</w:t>
      </w:r>
      <w:r>
        <w:rPr>
          <w:rFonts w:ascii="仿宋_GB2312" w:eastAsia="仿宋_GB2312" w:hAnsi="宋体" w:hint="eastAsia"/>
          <w:color w:val="auto"/>
          <w:sz w:val="30"/>
          <w:szCs w:val="30"/>
        </w:rPr>
        <w:t>直接、间接、</w:t>
      </w:r>
      <w:r>
        <w:rPr>
          <w:rFonts w:ascii="仿宋_GB2312" w:eastAsia="仿宋_GB2312" w:hAnsi="宋体"/>
          <w:color w:val="auto"/>
          <w:sz w:val="30"/>
          <w:szCs w:val="30"/>
        </w:rPr>
        <w:t>共同</w:t>
      </w:r>
      <w:r>
        <w:rPr>
          <w:rFonts w:ascii="仿宋_GB2312" w:eastAsia="仿宋_GB2312" w:hAnsi="宋体" w:hint="eastAsia"/>
          <w:color w:val="auto"/>
          <w:sz w:val="30"/>
          <w:szCs w:val="30"/>
        </w:rPr>
        <w:t>控制或</w:t>
      </w:r>
      <w:r>
        <w:rPr>
          <w:rFonts w:ascii="仿宋_GB2312" w:eastAsia="仿宋_GB2312" w:hAnsi="宋体"/>
          <w:color w:val="auto"/>
          <w:sz w:val="30"/>
          <w:szCs w:val="30"/>
        </w:rPr>
        <w:t>可施加重大影响</w:t>
      </w:r>
      <w:r>
        <w:rPr>
          <w:rFonts w:ascii="仿宋_GB2312" w:eastAsia="仿宋_GB2312" w:hAnsi="宋体" w:hint="eastAsia"/>
          <w:color w:val="auto"/>
          <w:sz w:val="30"/>
          <w:szCs w:val="30"/>
        </w:rPr>
        <w:t>的法人或其他组织</w:t>
      </w:r>
      <w:r>
        <w:rPr>
          <w:rFonts w:ascii="仿宋_GB2312" w:eastAsia="仿宋_GB2312" w:hAnsi="宋体"/>
          <w:color w:val="auto"/>
          <w:sz w:val="30"/>
          <w:szCs w:val="30"/>
        </w:rPr>
        <w:t>。</w:t>
      </w:r>
    </w:p>
    <w:p w:rsidR="005C402C" w:rsidRDefault="005C402C" w:rsidP="005C402C">
      <w:pPr>
        <w:pStyle w:val="ae"/>
        <w:widowControl w:val="0"/>
        <w:tabs>
          <w:tab w:val="left" w:pos="1701"/>
        </w:tabs>
        <w:adjustRightInd w:val="0"/>
        <w:snapToGrid w:val="0"/>
        <w:spacing w:before="0" w:after="0" w:line="360" w:lineRule="auto"/>
        <w:ind w:firstLineChars="200" w:firstLine="602"/>
        <w:jc w:val="both"/>
        <w:rPr>
          <w:rFonts w:ascii="仿宋_GB2312" w:eastAsia="仿宋_GB2312" w:hAnsi="宋体"/>
          <w:color w:val="auto"/>
          <w:sz w:val="30"/>
          <w:szCs w:val="30"/>
        </w:rPr>
      </w:pPr>
      <w:r>
        <w:rPr>
          <w:rFonts w:ascii="仿宋_GB2312" w:eastAsia="仿宋_GB2312" w:hAnsi="宋体" w:hint="eastAsia"/>
          <w:b/>
          <w:color w:val="auto"/>
          <w:sz w:val="30"/>
          <w:szCs w:val="30"/>
        </w:rPr>
        <w:t>第</w:t>
      </w:r>
      <w:r>
        <w:rPr>
          <w:rFonts w:ascii="仿宋_GB2312" w:eastAsia="仿宋_GB2312" w:hAnsi="宋体"/>
          <w:b/>
          <w:color w:val="auto"/>
          <w:sz w:val="30"/>
          <w:szCs w:val="30"/>
        </w:rPr>
        <w:t>十</w:t>
      </w:r>
      <w:r>
        <w:rPr>
          <w:rFonts w:ascii="仿宋_GB2312" w:eastAsia="仿宋_GB2312" w:hAnsi="宋体" w:hint="eastAsia"/>
          <w:b/>
          <w:color w:val="auto"/>
          <w:sz w:val="30"/>
          <w:szCs w:val="30"/>
        </w:rPr>
        <w:t>三</w:t>
      </w:r>
      <w:r>
        <w:rPr>
          <w:rFonts w:ascii="仿宋_GB2312" w:eastAsia="仿宋_GB2312" w:hAnsi="宋体"/>
          <w:b/>
          <w:color w:val="auto"/>
          <w:sz w:val="30"/>
          <w:szCs w:val="30"/>
        </w:rPr>
        <w:t>条</w:t>
      </w:r>
      <w:r>
        <w:rPr>
          <w:rFonts w:ascii="仿宋_GB2312" w:eastAsia="仿宋_GB2312" w:hAnsi="宋体" w:hint="eastAsia"/>
          <w:color w:val="auto"/>
          <w:sz w:val="30"/>
          <w:szCs w:val="30"/>
        </w:rPr>
        <w:t xml:space="preserve">  总行人力资源部门负责收集和更新的关联方信息包括</w:t>
      </w:r>
      <w:r>
        <w:rPr>
          <w:rFonts w:ascii="仿宋_GB2312" w:eastAsia="仿宋_GB2312" w:hAnsi="宋体"/>
          <w:color w:val="auto"/>
          <w:sz w:val="30"/>
          <w:szCs w:val="30"/>
        </w:rPr>
        <w:t>但不限于</w:t>
      </w:r>
      <w:r>
        <w:rPr>
          <w:rFonts w:ascii="仿宋_GB2312" w:eastAsia="仿宋_GB2312" w:hAnsi="宋体" w:hint="eastAsia"/>
          <w:color w:val="auto"/>
          <w:sz w:val="30"/>
          <w:szCs w:val="30"/>
        </w:rPr>
        <w:t>：</w:t>
      </w:r>
    </w:p>
    <w:p w:rsidR="005C402C" w:rsidRDefault="005C402C" w:rsidP="005C402C">
      <w:pPr>
        <w:pStyle w:val="ae"/>
        <w:widowControl w:val="0"/>
        <w:tabs>
          <w:tab w:val="left" w:pos="1701"/>
        </w:tabs>
        <w:adjustRightInd w:val="0"/>
        <w:snapToGrid w:val="0"/>
        <w:spacing w:before="0" w:after="0" w:line="360" w:lineRule="auto"/>
        <w:ind w:firstLineChars="200" w:firstLine="600"/>
        <w:jc w:val="both"/>
        <w:rPr>
          <w:rFonts w:ascii="仿宋_GB2312" w:eastAsia="仿宋_GB2312" w:hAnsi="宋体"/>
          <w:color w:val="auto"/>
          <w:sz w:val="30"/>
          <w:szCs w:val="30"/>
        </w:rPr>
      </w:pPr>
      <w:r>
        <w:rPr>
          <w:rFonts w:ascii="仿宋_GB2312" w:eastAsia="仿宋_GB2312" w:hAnsi="宋体" w:hint="eastAsia"/>
          <w:color w:val="auto"/>
          <w:sz w:val="30"/>
          <w:szCs w:val="30"/>
        </w:rPr>
        <w:t>（一）总行高级管理人员（总行</w:t>
      </w:r>
      <w:r>
        <w:rPr>
          <w:rFonts w:ascii="仿宋_GB2312" w:eastAsia="仿宋_GB2312" w:hAnsi="宋体"/>
          <w:color w:val="auto"/>
          <w:sz w:val="30"/>
          <w:szCs w:val="30"/>
        </w:rPr>
        <w:t>行长、副行长、</w:t>
      </w:r>
      <w:r>
        <w:rPr>
          <w:rFonts w:ascii="仿宋_GB2312" w:eastAsia="仿宋_GB2312" w:hAnsi="宋体" w:hint="eastAsia"/>
          <w:color w:val="auto"/>
          <w:sz w:val="30"/>
          <w:szCs w:val="30"/>
        </w:rPr>
        <w:t>董事会秘书除外）及其近亲属；由前述人</w:t>
      </w:r>
      <w:r>
        <w:rPr>
          <w:rFonts w:ascii="仿宋_GB2312" w:eastAsia="仿宋_GB2312" w:hAnsi="宋体"/>
          <w:color w:val="auto"/>
          <w:sz w:val="30"/>
          <w:szCs w:val="30"/>
        </w:rPr>
        <w:t>员</w:t>
      </w:r>
      <w:r>
        <w:rPr>
          <w:rFonts w:ascii="仿宋_GB2312" w:eastAsia="仿宋_GB2312" w:hAnsi="宋体" w:hint="eastAsia"/>
          <w:color w:val="auto"/>
          <w:sz w:val="30"/>
          <w:szCs w:val="30"/>
        </w:rPr>
        <w:t>直接、间接、</w:t>
      </w:r>
      <w:r>
        <w:rPr>
          <w:rFonts w:ascii="仿宋_GB2312" w:eastAsia="仿宋_GB2312" w:hAnsi="宋体"/>
          <w:color w:val="auto"/>
          <w:sz w:val="30"/>
          <w:szCs w:val="30"/>
        </w:rPr>
        <w:t>共同</w:t>
      </w:r>
      <w:r>
        <w:rPr>
          <w:rFonts w:ascii="仿宋_GB2312" w:eastAsia="仿宋_GB2312" w:hAnsi="宋体" w:hint="eastAsia"/>
          <w:color w:val="auto"/>
          <w:sz w:val="30"/>
          <w:szCs w:val="30"/>
        </w:rPr>
        <w:t>控制或可</w:t>
      </w:r>
      <w:r>
        <w:rPr>
          <w:rFonts w:ascii="仿宋_GB2312" w:eastAsia="仿宋_GB2312" w:hAnsi="宋体"/>
          <w:color w:val="auto"/>
          <w:sz w:val="30"/>
          <w:szCs w:val="30"/>
        </w:rPr>
        <w:t>施加重大影响</w:t>
      </w:r>
      <w:r>
        <w:rPr>
          <w:rFonts w:ascii="仿宋_GB2312" w:eastAsia="仿宋_GB2312" w:hAnsi="宋体" w:hint="eastAsia"/>
          <w:color w:val="auto"/>
          <w:sz w:val="30"/>
          <w:szCs w:val="30"/>
        </w:rPr>
        <w:t>的法人或其他组织。</w:t>
      </w:r>
    </w:p>
    <w:p w:rsidR="005C402C" w:rsidRDefault="005C402C" w:rsidP="005C402C">
      <w:pPr>
        <w:pStyle w:val="ae"/>
        <w:widowControl w:val="0"/>
        <w:tabs>
          <w:tab w:val="left" w:pos="1701"/>
        </w:tabs>
        <w:adjustRightInd w:val="0"/>
        <w:snapToGrid w:val="0"/>
        <w:spacing w:before="0" w:after="0" w:line="360" w:lineRule="auto"/>
        <w:ind w:firstLineChars="200" w:firstLine="600"/>
        <w:jc w:val="both"/>
        <w:rPr>
          <w:rFonts w:ascii="仿宋_GB2312" w:eastAsia="仿宋_GB2312" w:hAnsi="宋体"/>
          <w:color w:val="auto"/>
          <w:sz w:val="30"/>
          <w:szCs w:val="30"/>
        </w:rPr>
      </w:pPr>
      <w:r>
        <w:rPr>
          <w:rFonts w:ascii="仿宋_GB2312" w:eastAsia="仿宋_GB2312" w:hAnsi="宋体" w:hint="eastAsia"/>
          <w:color w:val="auto"/>
          <w:sz w:val="30"/>
          <w:szCs w:val="30"/>
        </w:rPr>
        <w:t>（二）总行具有信贷审批权限的审批人员、总行其他有权决定或参与授信和资产转移的相关人员，上述人员的</w:t>
      </w:r>
      <w:r>
        <w:rPr>
          <w:rFonts w:ascii="仿宋_GB2312" w:eastAsia="仿宋_GB2312" w:hAnsi="宋体"/>
          <w:color w:val="auto"/>
          <w:sz w:val="30"/>
          <w:szCs w:val="30"/>
        </w:rPr>
        <w:t>近亲属</w:t>
      </w:r>
      <w:r>
        <w:rPr>
          <w:rFonts w:ascii="仿宋_GB2312" w:eastAsia="仿宋_GB2312" w:hAnsi="宋体" w:hint="eastAsia"/>
          <w:color w:val="auto"/>
          <w:sz w:val="30"/>
          <w:szCs w:val="30"/>
        </w:rPr>
        <w:t>；由前述人</w:t>
      </w:r>
      <w:r>
        <w:rPr>
          <w:rFonts w:ascii="仿宋_GB2312" w:eastAsia="仿宋_GB2312" w:hAnsi="宋体"/>
          <w:color w:val="auto"/>
          <w:sz w:val="30"/>
          <w:szCs w:val="30"/>
        </w:rPr>
        <w:t>员</w:t>
      </w:r>
      <w:r>
        <w:rPr>
          <w:rFonts w:ascii="仿宋_GB2312" w:eastAsia="仿宋_GB2312" w:hAnsi="宋体" w:hint="eastAsia"/>
          <w:color w:val="auto"/>
          <w:sz w:val="30"/>
          <w:szCs w:val="30"/>
        </w:rPr>
        <w:t>直接、间接、</w:t>
      </w:r>
      <w:r>
        <w:rPr>
          <w:rFonts w:ascii="仿宋_GB2312" w:eastAsia="仿宋_GB2312" w:hAnsi="宋体"/>
          <w:color w:val="auto"/>
          <w:sz w:val="30"/>
          <w:szCs w:val="30"/>
        </w:rPr>
        <w:t>共同</w:t>
      </w:r>
      <w:r>
        <w:rPr>
          <w:rFonts w:ascii="仿宋_GB2312" w:eastAsia="仿宋_GB2312" w:hAnsi="宋体" w:hint="eastAsia"/>
          <w:color w:val="auto"/>
          <w:sz w:val="30"/>
          <w:szCs w:val="30"/>
        </w:rPr>
        <w:t>控制或</w:t>
      </w:r>
      <w:r>
        <w:rPr>
          <w:rFonts w:ascii="仿宋_GB2312" w:eastAsia="仿宋_GB2312" w:hAnsi="宋体"/>
          <w:color w:val="auto"/>
          <w:sz w:val="30"/>
          <w:szCs w:val="30"/>
        </w:rPr>
        <w:t>可施加重大影响</w:t>
      </w:r>
      <w:r>
        <w:rPr>
          <w:rFonts w:ascii="仿宋_GB2312" w:eastAsia="仿宋_GB2312" w:hAnsi="宋体" w:hint="eastAsia"/>
          <w:color w:val="auto"/>
          <w:sz w:val="30"/>
          <w:szCs w:val="30"/>
        </w:rPr>
        <w:t>的法人或其他组织。</w:t>
      </w:r>
    </w:p>
    <w:p w:rsidR="005C402C" w:rsidRDefault="005C402C" w:rsidP="005C402C">
      <w:pPr>
        <w:pStyle w:val="ae"/>
        <w:widowControl w:val="0"/>
        <w:tabs>
          <w:tab w:val="left" w:pos="1701"/>
        </w:tabs>
        <w:adjustRightInd w:val="0"/>
        <w:snapToGrid w:val="0"/>
        <w:spacing w:before="0" w:after="0" w:line="360" w:lineRule="auto"/>
        <w:ind w:firstLineChars="200" w:firstLine="602"/>
        <w:jc w:val="both"/>
        <w:rPr>
          <w:rFonts w:ascii="仿宋_GB2312" w:eastAsia="仿宋_GB2312" w:hAnsi="宋体"/>
          <w:color w:val="auto"/>
          <w:sz w:val="30"/>
          <w:szCs w:val="30"/>
        </w:rPr>
      </w:pPr>
      <w:r>
        <w:rPr>
          <w:rFonts w:ascii="仿宋_GB2312" w:eastAsia="仿宋_GB2312" w:hAnsi="宋体" w:hint="eastAsia"/>
          <w:b/>
          <w:color w:val="auto"/>
          <w:sz w:val="30"/>
          <w:szCs w:val="30"/>
        </w:rPr>
        <w:t>第十四</w:t>
      </w:r>
      <w:r>
        <w:rPr>
          <w:rFonts w:ascii="仿宋_GB2312" w:eastAsia="仿宋_GB2312" w:hAnsi="宋体"/>
          <w:b/>
          <w:color w:val="auto"/>
          <w:sz w:val="30"/>
          <w:szCs w:val="30"/>
        </w:rPr>
        <w:t>条</w:t>
      </w:r>
      <w:r>
        <w:rPr>
          <w:rFonts w:ascii="仿宋_GB2312" w:eastAsia="仿宋_GB2312" w:hAnsi="宋体" w:hint="eastAsia"/>
          <w:color w:val="auto"/>
          <w:sz w:val="30"/>
          <w:szCs w:val="30"/>
        </w:rPr>
        <w:t xml:space="preserve">  总行公司业务部负责</w:t>
      </w:r>
      <w:r>
        <w:rPr>
          <w:rFonts w:ascii="仿宋_GB2312" w:eastAsia="仿宋_GB2312" w:hAnsi="宋体"/>
          <w:color w:val="auto"/>
          <w:sz w:val="30"/>
          <w:szCs w:val="30"/>
        </w:rPr>
        <w:t>牵头</w:t>
      </w:r>
      <w:r>
        <w:rPr>
          <w:rFonts w:ascii="仿宋_GB2312" w:eastAsia="仿宋_GB2312" w:hAnsi="宋体" w:hint="eastAsia"/>
          <w:color w:val="auto"/>
          <w:sz w:val="30"/>
          <w:szCs w:val="30"/>
        </w:rPr>
        <w:t>主办行收集</w:t>
      </w:r>
      <w:r>
        <w:rPr>
          <w:rFonts w:ascii="仿宋_GB2312" w:eastAsia="仿宋_GB2312" w:hAnsi="宋体"/>
          <w:color w:val="auto"/>
          <w:sz w:val="30"/>
          <w:szCs w:val="30"/>
        </w:rPr>
        <w:t>和更新</w:t>
      </w:r>
      <w:r>
        <w:rPr>
          <w:rFonts w:ascii="仿宋_GB2312" w:eastAsia="仿宋_GB2312" w:hAnsi="宋体" w:hint="eastAsia"/>
          <w:color w:val="auto"/>
          <w:sz w:val="30"/>
          <w:szCs w:val="30"/>
        </w:rPr>
        <w:t>的关联方信息包括</w:t>
      </w:r>
      <w:r>
        <w:rPr>
          <w:rFonts w:ascii="仿宋_GB2312" w:eastAsia="仿宋_GB2312" w:hAnsi="宋体"/>
          <w:color w:val="auto"/>
          <w:sz w:val="30"/>
          <w:szCs w:val="30"/>
        </w:rPr>
        <w:t>：</w:t>
      </w:r>
      <w:r>
        <w:rPr>
          <w:rFonts w:ascii="仿宋_GB2312" w:eastAsia="仿宋_GB2312" w:hAnsi="宋体" w:hint="eastAsia"/>
          <w:color w:val="auto"/>
          <w:sz w:val="30"/>
          <w:szCs w:val="30"/>
        </w:rPr>
        <w:t>与</w:t>
      </w:r>
      <w:r>
        <w:rPr>
          <w:rFonts w:ascii="仿宋_GB2312" w:eastAsia="仿宋_GB2312" w:hAnsi="宋体"/>
          <w:color w:val="auto"/>
          <w:sz w:val="30"/>
          <w:szCs w:val="30"/>
        </w:rPr>
        <w:t>本行同受某一企业（</w:t>
      </w:r>
      <w:r>
        <w:rPr>
          <w:rFonts w:ascii="仿宋_GB2312" w:eastAsia="仿宋_GB2312" w:hAnsi="宋体" w:hint="eastAsia"/>
          <w:color w:val="auto"/>
          <w:sz w:val="30"/>
          <w:szCs w:val="30"/>
        </w:rPr>
        <w:t>国有</w:t>
      </w:r>
      <w:r>
        <w:rPr>
          <w:rFonts w:ascii="仿宋_GB2312" w:eastAsia="仿宋_GB2312" w:hAnsi="宋体"/>
          <w:color w:val="auto"/>
          <w:sz w:val="30"/>
          <w:szCs w:val="30"/>
        </w:rPr>
        <w:t>资产管理公司除外）</w:t>
      </w:r>
      <w:r>
        <w:rPr>
          <w:rFonts w:ascii="仿宋_GB2312" w:eastAsia="仿宋_GB2312" w:hAnsi="宋体" w:hint="eastAsia"/>
          <w:color w:val="auto"/>
          <w:sz w:val="30"/>
          <w:szCs w:val="30"/>
        </w:rPr>
        <w:t>直接</w:t>
      </w:r>
      <w:r>
        <w:rPr>
          <w:rFonts w:ascii="仿宋_GB2312" w:eastAsia="仿宋_GB2312" w:hAnsi="宋体"/>
          <w:color w:val="auto"/>
          <w:sz w:val="30"/>
          <w:szCs w:val="30"/>
        </w:rPr>
        <w:t>、间接控制的法人或其他组织</w:t>
      </w:r>
      <w:r>
        <w:rPr>
          <w:rFonts w:ascii="仿宋_GB2312" w:eastAsia="仿宋_GB2312" w:hAnsi="宋体" w:hint="eastAsia"/>
          <w:color w:val="auto"/>
          <w:sz w:val="30"/>
          <w:szCs w:val="30"/>
        </w:rPr>
        <w:t>。</w:t>
      </w:r>
    </w:p>
    <w:p w:rsidR="005C402C" w:rsidRDefault="005C402C" w:rsidP="005C402C">
      <w:pPr>
        <w:pStyle w:val="ae"/>
        <w:widowControl w:val="0"/>
        <w:tabs>
          <w:tab w:val="left" w:pos="1701"/>
        </w:tabs>
        <w:adjustRightInd w:val="0"/>
        <w:snapToGrid w:val="0"/>
        <w:spacing w:before="0" w:after="0" w:line="360" w:lineRule="auto"/>
        <w:ind w:firstLineChars="200" w:firstLine="600"/>
        <w:jc w:val="both"/>
        <w:rPr>
          <w:rFonts w:ascii="仿宋_GB2312" w:eastAsia="仿宋_GB2312" w:hAnsi="宋体"/>
          <w:color w:val="auto"/>
          <w:sz w:val="30"/>
          <w:szCs w:val="30"/>
        </w:rPr>
      </w:pPr>
      <w:r>
        <w:rPr>
          <w:rFonts w:ascii="仿宋_GB2312" w:eastAsia="仿宋_GB2312" w:hAnsi="宋体" w:hint="eastAsia"/>
          <w:color w:val="auto"/>
          <w:sz w:val="30"/>
          <w:szCs w:val="30"/>
        </w:rPr>
        <w:t>总行</w:t>
      </w:r>
      <w:r>
        <w:rPr>
          <w:rFonts w:ascii="仿宋_GB2312" w:eastAsia="仿宋_GB2312" w:hAnsi="宋体"/>
          <w:color w:val="auto"/>
          <w:sz w:val="30"/>
          <w:szCs w:val="30"/>
        </w:rPr>
        <w:t>小微金融业务部负责配合总行公司业务部收集和更新上述关联方信息。</w:t>
      </w:r>
    </w:p>
    <w:p w:rsidR="005C402C" w:rsidRDefault="005C402C" w:rsidP="005C402C">
      <w:pPr>
        <w:pStyle w:val="ae"/>
        <w:widowControl w:val="0"/>
        <w:tabs>
          <w:tab w:val="left" w:pos="1701"/>
        </w:tabs>
        <w:adjustRightInd w:val="0"/>
        <w:snapToGrid w:val="0"/>
        <w:spacing w:before="0" w:after="0" w:line="360" w:lineRule="auto"/>
        <w:ind w:firstLineChars="200" w:firstLine="602"/>
        <w:jc w:val="both"/>
        <w:rPr>
          <w:rFonts w:ascii="仿宋_GB2312" w:eastAsia="仿宋_GB2312" w:hAnsi="宋体"/>
          <w:color w:val="auto"/>
          <w:sz w:val="30"/>
          <w:szCs w:val="30"/>
        </w:rPr>
      </w:pPr>
      <w:r>
        <w:rPr>
          <w:rFonts w:ascii="仿宋_GB2312" w:eastAsia="仿宋_GB2312" w:hAnsi="宋体" w:hint="eastAsia"/>
          <w:b/>
          <w:color w:val="auto"/>
          <w:sz w:val="30"/>
          <w:szCs w:val="30"/>
        </w:rPr>
        <w:t>第十五条</w:t>
      </w:r>
      <w:r>
        <w:rPr>
          <w:rFonts w:ascii="仿宋_GB2312" w:eastAsia="仿宋_GB2312" w:hAnsi="宋体" w:hint="eastAsia"/>
          <w:color w:val="auto"/>
          <w:sz w:val="30"/>
          <w:szCs w:val="30"/>
        </w:rPr>
        <w:t xml:space="preserve">  分（支）行负责收集和更新的</w:t>
      </w:r>
      <w:r>
        <w:rPr>
          <w:rFonts w:ascii="仿宋_GB2312" w:eastAsia="仿宋_GB2312" w:hAnsi="宋体"/>
          <w:color w:val="auto"/>
          <w:sz w:val="30"/>
          <w:szCs w:val="30"/>
        </w:rPr>
        <w:t>关联方信息</w:t>
      </w:r>
      <w:r>
        <w:rPr>
          <w:rFonts w:ascii="仿宋_GB2312" w:eastAsia="仿宋_GB2312" w:hAnsi="宋体" w:hint="eastAsia"/>
          <w:color w:val="auto"/>
          <w:sz w:val="30"/>
          <w:szCs w:val="30"/>
        </w:rPr>
        <w:t>包括</w:t>
      </w:r>
      <w:r>
        <w:rPr>
          <w:rFonts w:ascii="仿宋_GB2312" w:eastAsia="仿宋_GB2312" w:hAnsi="宋体"/>
          <w:color w:val="auto"/>
          <w:sz w:val="30"/>
          <w:szCs w:val="30"/>
        </w:rPr>
        <w:t>但不限于</w:t>
      </w:r>
      <w:r>
        <w:rPr>
          <w:rFonts w:ascii="仿宋_GB2312" w:eastAsia="仿宋_GB2312" w:hAnsi="宋体" w:hint="eastAsia"/>
          <w:color w:val="auto"/>
          <w:sz w:val="30"/>
          <w:szCs w:val="30"/>
        </w:rPr>
        <w:t>：本级行高级管理人员及</w:t>
      </w:r>
      <w:r>
        <w:rPr>
          <w:rFonts w:ascii="仿宋_GB2312" w:eastAsia="仿宋_GB2312" w:hAnsi="宋体"/>
          <w:color w:val="auto"/>
          <w:sz w:val="30"/>
          <w:szCs w:val="30"/>
        </w:rPr>
        <w:t>其近亲属</w:t>
      </w:r>
      <w:r>
        <w:rPr>
          <w:rFonts w:ascii="仿宋_GB2312" w:eastAsia="仿宋_GB2312" w:hAnsi="宋体" w:hint="eastAsia"/>
          <w:color w:val="auto"/>
          <w:sz w:val="30"/>
          <w:szCs w:val="30"/>
        </w:rPr>
        <w:t>，具有信贷审批权限的审批人员及其近亲属，其他有权参与授信及资产转移的相关人员及其近亲属；</w:t>
      </w:r>
      <w:r>
        <w:rPr>
          <w:rFonts w:ascii="仿宋_GB2312" w:eastAsia="仿宋_GB2312" w:hAnsi="宋体"/>
          <w:color w:val="auto"/>
          <w:sz w:val="30"/>
          <w:szCs w:val="30"/>
        </w:rPr>
        <w:t>由</w:t>
      </w:r>
      <w:r>
        <w:rPr>
          <w:rFonts w:ascii="仿宋_GB2312" w:eastAsia="仿宋_GB2312" w:hAnsi="宋体" w:hint="eastAsia"/>
          <w:color w:val="auto"/>
          <w:sz w:val="30"/>
          <w:szCs w:val="30"/>
        </w:rPr>
        <w:t>前述</w:t>
      </w:r>
      <w:r>
        <w:rPr>
          <w:rFonts w:ascii="仿宋_GB2312" w:eastAsia="仿宋_GB2312" w:hAnsi="宋体"/>
          <w:color w:val="auto"/>
          <w:sz w:val="30"/>
          <w:szCs w:val="30"/>
        </w:rPr>
        <w:t>人员</w:t>
      </w:r>
      <w:r>
        <w:rPr>
          <w:rFonts w:ascii="仿宋_GB2312" w:eastAsia="仿宋_GB2312" w:hAnsi="宋体" w:hint="eastAsia"/>
          <w:color w:val="auto"/>
          <w:sz w:val="30"/>
          <w:szCs w:val="30"/>
        </w:rPr>
        <w:t>直接、间接、</w:t>
      </w:r>
      <w:r>
        <w:rPr>
          <w:rFonts w:ascii="仿宋_GB2312" w:eastAsia="仿宋_GB2312" w:hAnsi="宋体"/>
          <w:color w:val="auto"/>
          <w:sz w:val="30"/>
          <w:szCs w:val="30"/>
        </w:rPr>
        <w:t>共同</w:t>
      </w:r>
      <w:r>
        <w:rPr>
          <w:rFonts w:ascii="仿宋_GB2312" w:eastAsia="仿宋_GB2312" w:hAnsi="宋体" w:hint="eastAsia"/>
          <w:color w:val="auto"/>
          <w:sz w:val="30"/>
          <w:szCs w:val="30"/>
        </w:rPr>
        <w:t>控制或</w:t>
      </w:r>
      <w:r>
        <w:rPr>
          <w:rFonts w:ascii="仿宋_GB2312" w:eastAsia="仿宋_GB2312" w:hAnsi="宋体"/>
          <w:color w:val="auto"/>
          <w:sz w:val="30"/>
          <w:szCs w:val="30"/>
        </w:rPr>
        <w:t>可</w:t>
      </w:r>
      <w:r>
        <w:rPr>
          <w:rFonts w:ascii="仿宋_GB2312" w:eastAsia="仿宋_GB2312" w:hAnsi="宋体" w:hint="eastAsia"/>
          <w:color w:val="auto"/>
          <w:sz w:val="30"/>
          <w:szCs w:val="30"/>
        </w:rPr>
        <w:t>施加</w:t>
      </w:r>
      <w:r>
        <w:rPr>
          <w:rFonts w:ascii="仿宋_GB2312" w:eastAsia="仿宋_GB2312" w:hAnsi="宋体"/>
          <w:color w:val="auto"/>
          <w:sz w:val="30"/>
          <w:szCs w:val="30"/>
        </w:rPr>
        <w:t>重大影响的</w:t>
      </w:r>
      <w:r>
        <w:rPr>
          <w:rFonts w:ascii="仿宋_GB2312" w:eastAsia="仿宋_GB2312" w:hAnsi="宋体" w:hint="eastAsia"/>
          <w:color w:val="auto"/>
          <w:sz w:val="30"/>
          <w:szCs w:val="30"/>
        </w:rPr>
        <w:t>法人或其他组织。</w:t>
      </w:r>
    </w:p>
    <w:p w:rsidR="005C402C" w:rsidRDefault="005C402C" w:rsidP="005C402C">
      <w:pPr>
        <w:pStyle w:val="ae"/>
        <w:widowControl w:val="0"/>
        <w:tabs>
          <w:tab w:val="left" w:pos="1701"/>
        </w:tabs>
        <w:adjustRightInd w:val="0"/>
        <w:snapToGrid w:val="0"/>
        <w:spacing w:before="0" w:after="0" w:line="360" w:lineRule="auto"/>
        <w:ind w:firstLineChars="200" w:firstLine="602"/>
        <w:jc w:val="both"/>
        <w:rPr>
          <w:rFonts w:ascii="仿宋_GB2312" w:eastAsia="仿宋_GB2312" w:hAnsi="宋体"/>
          <w:color w:val="auto"/>
          <w:sz w:val="30"/>
          <w:szCs w:val="30"/>
        </w:rPr>
      </w:pPr>
      <w:r>
        <w:rPr>
          <w:rFonts w:ascii="仿宋_GB2312" w:eastAsia="仿宋_GB2312" w:hAnsi="宋体" w:hint="eastAsia"/>
          <w:b/>
          <w:color w:val="auto"/>
          <w:sz w:val="30"/>
          <w:szCs w:val="30"/>
        </w:rPr>
        <w:t>第十六条</w:t>
      </w:r>
      <w:r>
        <w:rPr>
          <w:rFonts w:ascii="仿宋_GB2312" w:eastAsia="仿宋_GB2312" w:hAnsi="宋体" w:hint="eastAsia"/>
          <w:color w:val="auto"/>
          <w:sz w:val="30"/>
          <w:szCs w:val="30"/>
        </w:rPr>
        <w:t xml:space="preserve">  总行承担</w:t>
      </w:r>
      <w:r>
        <w:rPr>
          <w:rFonts w:ascii="仿宋_GB2312" w:eastAsia="仿宋_GB2312" w:hAnsi="宋体"/>
          <w:color w:val="auto"/>
          <w:sz w:val="30"/>
          <w:szCs w:val="30"/>
        </w:rPr>
        <w:t>子公司对口管理职责的</w:t>
      </w:r>
      <w:r>
        <w:rPr>
          <w:rFonts w:ascii="仿宋_GB2312" w:eastAsia="仿宋_GB2312" w:hAnsi="宋体" w:hint="eastAsia"/>
          <w:color w:val="auto"/>
          <w:sz w:val="30"/>
          <w:szCs w:val="30"/>
        </w:rPr>
        <w:t>部门负责收集</w:t>
      </w:r>
      <w:r>
        <w:rPr>
          <w:rFonts w:ascii="仿宋_GB2312" w:eastAsia="仿宋_GB2312" w:hAnsi="宋体" w:hint="eastAsia"/>
          <w:color w:val="auto"/>
          <w:sz w:val="30"/>
          <w:szCs w:val="30"/>
        </w:rPr>
        <w:lastRenderedPageBreak/>
        <w:t>和更新的关联方信息包括</w:t>
      </w:r>
      <w:r>
        <w:rPr>
          <w:rFonts w:ascii="仿宋_GB2312" w:eastAsia="仿宋_GB2312" w:hAnsi="宋体"/>
          <w:color w:val="auto"/>
          <w:sz w:val="30"/>
          <w:szCs w:val="30"/>
        </w:rPr>
        <w:t>但不限于</w:t>
      </w:r>
      <w:r>
        <w:rPr>
          <w:rFonts w:ascii="仿宋_GB2312" w:eastAsia="仿宋_GB2312" w:hAnsi="宋体" w:hint="eastAsia"/>
          <w:color w:val="auto"/>
          <w:sz w:val="30"/>
          <w:szCs w:val="30"/>
        </w:rPr>
        <w:t>：上交所口径下持有对本行具有重要影响的控股子公司10%以上（含）股份的自然人、法人或其他组织；联交所口径下重大附属公司董事、监事、高级管理层及其联系人。</w:t>
      </w:r>
    </w:p>
    <w:p w:rsidR="005C402C" w:rsidRDefault="005C402C" w:rsidP="005C402C">
      <w:pPr>
        <w:pStyle w:val="ae"/>
        <w:widowControl w:val="0"/>
        <w:tabs>
          <w:tab w:val="left" w:pos="1701"/>
        </w:tabs>
        <w:adjustRightInd w:val="0"/>
        <w:snapToGrid w:val="0"/>
        <w:spacing w:before="0" w:after="0" w:line="360" w:lineRule="auto"/>
        <w:ind w:firstLineChars="200" w:firstLine="602"/>
        <w:jc w:val="both"/>
        <w:rPr>
          <w:rFonts w:ascii="仿宋_GB2312" w:eastAsia="仿宋_GB2312" w:hAnsi="宋体"/>
          <w:color w:val="auto"/>
          <w:sz w:val="30"/>
          <w:szCs w:val="30"/>
        </w:rPr>
      </w:pPr>
      <w:r>
        <w:rPr>
          <w:rFonts w:ascii="仿宋_GB2312" w:eastAsia="仿宋_GB2312" w:hAnsi="宋体" w:hint="eastAsia"/>
          <w:b/>
          <w:color w:val="auto"/>
          <w:sz w:val="30"/>
          <w:szCs w:val="30"/>
        </w:rPr>
        <w:t>第</w:t>
      </w:r>
      <w:r>
        <w:rPr>
          <w:rFonts w:ascii="仿宋_GB2312" w:eastAsia="仿宋_GB2312" w:hAnsi="宋体"/>
          <w:b/>
          <w:color w:val="auto"/>
          <w:sz w:val="30"/>
          <w:szCs w:val="30"/>
        </w:rPr>
        <w:t>十</w:t>
      </w:r>
      <w:r>
        <w:rPr>
          <w:rFonts w:ascii="仿宋_GB2312" w:eastAsia="仿宋_GB2312" w:hAnsi="宋体" w:hint="eastAsia"/>
          <w:b/>
          <w:color w:val="auto"/>
          <w:sz w:val="30"/>
          <w:szCs w:val="30"/>
        </w:rPr>
        <w:t>七</w:t>
      </w:r>
      <w:r>
        <w:rPr>
          <w:rFonts w:ascii="仿宋_GB2312" w:eastAsia="仿宋_GB2312" w:hAnsi="宋体"/>
          <w:b/>
          <w:color w:val="auto"/>
          <w:sz w:val="30"/>
          <w:szCs w:val="30"/>
        </w:rPr>
        <w:t>条</w:t>
      </w:r>
      <w:r>
        <w:rPr>
          <w:rFonts w:ascii="仿宋_GB2312" w:eastAsia="仿宋_GB2312" w:hAnsi="宋体" w:hint="eastAsia"/>
          <w:color w:val="auto"/>
          <w:sz w:val="30"/>
          <w:szCs w:val="30"/>
        </w:rPr>
        <w:t xml:space="preserve">  关联方信息收集和更新部门（或机构，下同）运用调查函或《关联方信息表》（附件2）等方式每</w:t>
      </w:r>
      <w:r>
        <w:rPr>
          <w:rFonts w:ascii="仿宋_GB2312" w:eastAsia="仿宋_GB2312" w:hAnsi="宋体"/>
          <w:color w:val="auto"/>
          <w:sz w:val="30"/>
          <w:szCs w:val="30"/>
        </w:rPr>
        <w:t>半年</w:t>
      </w:r>
      <w:r>
        <w:rPr>
          <w:rFonts w:ascii="仿宋_GB2312" w:eastAsia="仿宋_GB2312" w:hAnsi="宋体" w:hint="eastAsia"/>
          <w:color w:val="auto"/>
          <w:sz w:val="30"/>
          <w:szCs w:val="30"/>
        </w:rPr>
        <w:t>收集和更新关联方信息，汇总填写《关联方信息汇总表》（附件3）发送总行董事会办公室。分（支）行汇总表须经本级行行领导签字；总行相关部门汇总表须经部门负责人签字。</w:t>
      </w:r>
    </w:p>
    <w:p w:rsidR="005C402C" w:rsidRDefault="005C402C" w:rsidP="005C402C">
      <w:pPr>
        <w:pStyle w:val="ae"/>
        <w:widowControl w:val="0"/>
        <w:tabs>
          <w:tab w:val="left" w:pos="1701"/>
        </w:tabs>
        <w:adjustRightInd w:val="0"/>
        <w:snapToGrid w:val="0"/>
        <w:spacing w:before="0" w:after="0" w:line="360" w:lineRule="auto"/>
        <w:ind w:firstLineChars="200" w:firstLine="600"/>
        <w:jc w:val="both"/>
        <w:rPr>
          <w:rFonts w:ascii="仿宋_GB2312" w:eastAsia="仿宋_GB2312" w:hAnsi="宋体"/>
          <w:color w:val="auto"/>
          <w:sz w:val="30"/>
          <w:szCs w:val="30"/>
        </w:rPr>
      </w:pPr>
      <w:r>
        <w:rPr>
          <w:rFonts w:ascii="仿宋_GB2312" w:eastAsia="仿宋_GB2312" w:hAnsi="宋体" w:hint="eastAsia"/>
          <w:color w:val="auto"/>
          <w:sz w:val="30"/>
          <w:szCs w:val="30"/>
        </w:rPr>
        <w:t>关联</w:t>
      </w:r>
      <w:r>
        <w:rPr>
          <w:rFonts w:ascii="仿宋_GB2312" w:eastAsia="仿宋_GB2312" w:hAnsi="宋体"/>
          <w:color w:val="auto"/>
          <w:sz w:val="30"/>
          <w:szCs w:val="30"/>
        </w:rPr>
        <w:t>方信息收集和更新</w:t>
      </w:r>
      <w:r>
        <w:rPr>
          <w:rFonts w:ascii="仿宋_GB2312" w:eastAsia="仿宋_GB2312" w:hAnsi="宋体" w:hint="eastAsia"/>
          <w:color w:val="auto"/>
          <w:sz w:val="30"/>
          <w:szCs w:val="30"/>
        </w:rPr>
        <w:t>部门</w:t>
      </w:r>
      <w:r>
        <w:rPr>
          <w:rFonts w:ascii="仿宋_GB2312" w:eastAsia="仿宋_GB2312" w:hAnsi="宋体"/>
          <w:color w:val="auto"/>
          <w:sz w:val="30"/>
          <w:szCs w:val="30"/>
        </w:rPr>
        <w:t>应落实专人跟进关联方信息变更情况。</w:t>
      </w:r>
      <w:r>
        <w:rPr>
          <w:rFonts w:ascii="仿宋_GB2312" w:eastAsia="仿宋_GB2312" w:hAnsi="宋体" w:hint="eastAsia"/>
          <w:color w:val="auto"/>
          <w:sz w:val="30"/>
          <w:szCs w:val="30"/>
        </w:rPr>
        <w:t>关联方发生变更时，应在变更之日起10个工作日内对其关联方信息进行更新，填列《关联方信息表》（附件2），经审核签字后报总行董事会办公室。</w:t>
      </w:r>
    </w:p>
    <w:p w:rsidR="005C402C" w:rsidRDefault="005C402C" w:rsidP="005C402C">
      <w:pPr>
        <w:pStyle w:val="ae"/>
        <w:widowControl w:val="0"/>
        <w:tabs>
          <w:tab w:val="left" w:pos="1701"/>
        </w:tabs>
        <w:adjustRightInd w:val="0"/>
        <w:snapToGrid w:val="0"/>
        <w:spacing w:before="0" w:after="0" w:line="360" w:lineRule="auto"/>
        <w:ind w:firstLineChars="200" w:firstLine="602"/>
        <w:jc w:val="both"/>
        <w:rPr>
          <w:rFonts w:ascii="仿宋_GB2312" w:eastAsia="仿宋_GB2312" w:hAnsi="宋体"/>
          <w:color w:val="auto"/>
          <w:sz w:val="30"/>
          <w:szCs w:val="30"/>
        </w:rPr>
      </w:pPr>
      <w:r>
        <w:rPr>
          <w:rFonts w:ascii="仿宋_GB2312" w:eastAsia="仿宋_GB2312" w:hAnsi="宋体" w:hint="eastAsia"/>
          <w:b/>
          <w:color w:val="auto"/>
          <w:sz w:val="30"/>
          <w:szCs w:val="30"/>
        </w:rPr>
        <w:t>第十八条</w:t>
      </w:r>
      <w:r>
        <w:rPr>
          <w:rFonts w:ascii="仿宋_GB2312" w:eastAsia="仿宋_GB2312" w:hAnsi="宋体" w:hint="eastAsia"/>
          <w:color w:val="auto"/>
          <w:sz w:val="30"/>
          <w:szCs w:val="30"/>
        </w:rPr>
        <w:t xml:space="preserve">  除定期收集和更新外，关联方信息管理还应遵循适时原则。交易对方符合本行关联方认定标准但尚未经董事会</w:t>
      </w:r>
      <w:r>
        <w:rPr>
          <w:rFonts w:ascii="仿宋_GB2312" w:eastAsia="仿宋_GB2312" w:hAnsi="宋体"/>
          <w:color w:val="auto"/>
          <w:sz w:val="30"/>
          <w:szCs w:val="30"/>
        </w:rPr>
        <w:t>审议</w:t>
      </w:r>
      <w:r>
        <w:rPr>
          <w:rFonts w:ascii="仿宋_GB2312" w:eastAsia="仿宋_GB2312" w:hAnsi="宋体" w:hint="eastAsia"/>
          <w:color w:val="auto"/>
          <w:sz w:val="30"/>
          <w:szCs w:val="30"/>
        </w:rPr>
        <w:t>确认为关联方的，在确认前该交易视同关联交易。</w:t>
      </w:r>
    </w:p>
    <w:p w:rsidR="005C402C" w:rsidRDefault="005C402C" w:rsidP="005C402C">
      <w:pPr>
        <w:pStyle w:val="ae"/>
        <w:widowControl w:val="0"/>
        <w:tabs>
          <w:tab w:val="left" w:pos="1701"/>
        </w:tabs>
        <w:adjustRightInd w:val="0"/>
        <w:snapToGrid w:val="0"/>
        <w:spacing w:before="0" w:after="0" w:line="360" w:lineRule="auto"/>
        <w:ind w:firstLineChars="200" w:firstLine="600"/>
        <w:jc w:val="both"/>
        <w:rPr>
          <w:rFonts w:ascii="仿宋_GB2312" w:eastAsia="仿宋_GB2312" w:hAnsi="宋体"/>
          <w:color w:val="auto"/>
          <w:sz w:val="30"/>
          <w:szCs w:val="30"/>
        </w:rPr>
      </w:pPr>
      <w:r>
        <w:rPr>
          <w:rFonts w:ascii="仿宋_GB2312" w:eastAsia="仿宋_GB2312" w:hAnsi="宋体" w:hint="eastAsia"/>
          <w:color w:val="auto"/>
          <w:sz w:val="30"/>
          <w:szCs w:val="30"/>
        </w:rPr>
        <w:t>（一）交易发起部门（指具体营销经办业务的部门，包括分支行及总行前台营销经办业务部门及可能发起交易的其他部门）在调查环节应确定交易对方是否为本行关联方。如符合认定标准但尚未纳入关联方名单的，应在识别后第2个工作日内书面报告董事会办公室（书面报告需经分支行行领导或总行部门负责人签字，下同），由董事会</w:t>
      </w:r>
      <w:r>
        <w:rPr>
          <w:rFonts w:ascii="仿宋_GB2312" w:eastAsia="仿宋_GB2312" w:hAnsi="宋体"/>
          <w:color w:val="auto"/>
          <w:sz w:val="30"/>
          <w:szCs w:val="30"/>
        </w:rPr>
        <w:t>办公室</w:t>
      </w:r>
      <w:r>
        <w:rPr>
          <w:rFonts w:ascii="仿宋_GB2312" w:eastAsia="仿宋_GB2312" w:hAnsi="宋体" w:hint="eastAsia"/>
          <w:color w:val="auto"/>
          <w:sz w:val="30"/>
          <w:szCs w:val="30"/>
        </w:rPr>
        <w:t>进行审核。符合关联方标准的，视同关联交易申报。</w:t>
      </w:r>
    </w:p>
    <w:p w:rsidR="005C402C" w:rsidRDefault="005C402C" w:rsidP="005C402C">
      <w:pPr>
        <w:pStyle w:val="ae"/>
        <w:widowControl w:val="0"/>
        <w:tabs>
          <w:tab w:val="left" w:pos="1701"/>
        </w:tabs>
        <w:adjustRightInd w:val="0"/>
        <w:snapToGrid w:val="0"/>
        <w:spacing w:before="0" w:after="0" w:line="360" w:lineRule="auto"/>
        <w:ind w:firstLineChars="200" w:firstLine="600"/>
        <w:jc w:val="both"/>
        <w:rPr>
          <w:rFonts w:ascii="仿宋_GB2312" w:eastAsia="仿宋_GB2312" w:hAnsi="宋体"/>
          <w:color w:val="auto"/>
          <w:sz w:val="30"/>
          <w:szCs w:val="30"/>
        </w:rPr>
      </w:pPr>
      <w:r>
        <w:rPr>
          <w:rFonts w:ascii="仿宋_GB2312" w:eastAsia="仿宋_GB2312" w:hAnsi="宋体" w:hint="eastAsia"/>
          <w:color w:val="auto"/>
          <w:sz w:val="30"/>
          <w:szCs w:val="30"/>
        </w:rPr>
        <w:t>（二）支用申请主体应在支用申报时再次核实交易对方是否</w:t>
      </w:r>
      <w:r>
        <w:rPr>
          <w:rFonts w:ascii="仿宋_GB2312" w:eastAsia="仿宋_GB2312" w:hAnsi="宋体" w:hint="eastAsia"/>
          <w:color w:val="auto"/>
          <w:sz w:val="30"/>
          <w:szCs w:val="30"/>
        </w:rPr>
        <w:lastRenderedPageBreak/>
        <w:t>因股权变化等原因符合</w:t>
      </w:r>
      <w:r>
        <w:rPr>
          <w:rFonts w:ascii="仿宋_GB2312" w:eastAsia="仿宋_GB2312" w:hAnsi="宋体"/>
          <w:color w:val="auto"/>
          <w:sz w:val="30"/>
          <w:szCs w:val="30"/>
        </w:rPr>
        <w:t>关联方认定标准</w:t>
      </w:r>
      <w:r>
        <w:rPr>
          <w:rFonts w:ascii="仿宋_GB2312" w:eastAsia="仿宋_GB2312" w:hAnsi="宋体" w:hint="eastAsia"/>
          <w:color w:val="auto"/>
          <w:sz w:val="30"/>
          <w:szCs w:val="30"/>
        </w:rPr>
        <w:t>，符合关联方标准的，暂缓支用，在识别后第2个工作日内书面报告董事会</w:t>
      </w:r>
      <w:r>
        <w:rPr>
          <w:rFonts w:ascii="仿宋_GB2312" w:eastAsia="仿宋_GB2312" w:hAnsi="宋体"/>
          <w:color w:val="auto"/>
          <w:sz w:val="30"/>
          <w:szCs w:val="30"/>
        </w:rPr>
        <w:t>办公室</w:t>
      </w:r>
      <w:r>
        <w:rPr>
          <w:rFonts w:ascii="仿宋_GB2312" w:eastAsia="仿宋_GB2312" w:hAnsi="宋体" w:hint="eastAsia"/>
          <w:color w:val="auto"/>
          <w:sz w:val="30"/>
          <w:szCs w:val="30"/>
        </w:rPr>
        <w:t>，由董事会</w:t>
      </w:r>
      <w:r>
        <w:rPr>
          <w:rFonts w:ascii="仿宋_GB2312" w:eastAsia="仿宋_GB2312" w:hAnsi="宋体"/>
          <w:color w:val="auto"/>
          <w:sz w:val="30"/>
          <w:szCs w:val="30"/>
        </w:rPr>
        <w:t>办公室</w:t>
      </w:r>
      <w:r>
        <w:rPr>
          <w:rFonts w:ascii="仿宋_GB2312" w:eastAsia="仿宋_GB2312" w:hAnsi="宋体" w:hint="eastAsia"/>
          <w:color w:val="auto"/>
          <w:sz w:val="30"/>
          <w:szCs w:val="30"/>
        </w:rPr>
        <w:t>进行审核，符合关联方标准的，应在支用前按关联交易流程进行申报。</w:t>
      </w:r>
    </w:p>
    <w:p w:rsidR="005C402C" w:rsidRDefault="005C402C" w:rsidP="005C402C">
      <w:pPr>
        <w:pStyle w:val="ae"/>
        <w:widowControl w:val="0"/>
        <w:tabs>
          <w:tab w:val="left" w:pos="1701"/>
        </w:tabs>
        <w:adjustRightInd w:val="0"/>
        <w:snapToGrid w:val="0"/>
        <w:spacing w:before="0" w:after="0" w:line="360" w:lineRule="auto"/>
        <w:ind w:firstLineChars="200" w:firstLine="600"/>
        <w:jc w:val="both"/>
        <w:rPr>
          <w:rFonts w:ascii="仿宋_GB2312" w:eastAsia="仿宋_GB2312" w:hAnsi="宋体"/>
          <w:color w:val="auto"/>
          <w:sz w:val="30"/>
          <w:szCs w:val="30"/>
        </w:rPr>
      </w:pPr>
      <w:r>
        <w:rPr>
          <w:rFonts w:ascii="仿宋_GB2312" w:eastAsia="仿宋_GB2312" w:hAnsi="宋体" w:hint="eastAsia"/>
          <w:color w:val="auto"/>
          <w:sz w:val="30"/>
          <w:szCs w:val="30"/>
        </w:rPr>
        <w:t>（三）支用</w:t>
      </w:r>
      <w:r>
        <w:rPr>
          <w:rFonts w:ascii="仿宋_GB2312" w:eastAsia="仿宋_GB2312" w:hAnsi="宋体"/>
          <w:color w:val="auto"/>
          <w:sz w:val="30"/>
          <w:szCs w:val="30"/>
        </w:rPr>
        <w:t>审查审批</w:t>
      </w:r>
      <w:r>
        <w:rPr>
          <w:rFonts w:ascii="仿宋_GB2312" w:eastAsia="仿宋_GB2312" w:hAnsi="宋体" w:hint="eastAsia"/>
          <w:color w:val="auto"/>
          <w:sz w:val="30"/>
          <w:szCs w:val="30"/>
        </w:rPr>
        <w:t>环节</w:t>
      </w:r>
      <w:r>
        <w:rPr>
          <w:rFonts w:ascii="仿宋_GB2312" w:eastAsia="仿宋_GB2312" w:hAnsi="宋体"/>
          <w:color w:val="auto"/>
          <w:sz w:val="30"/>
          <w:szCs w:val="30"/>
        </w:rPr>
        <w:t>应</w:t>
      </w:r>
      <w:r>
        <w:rPr>
          <w:rFonts w:ascii="仿宋_GB2312" w:eastAsia="仿宋_GB2312" w:hAnsi="宋体" w:hint="eastAsia"/>
          <w:color w:val="auto"/>
          <w:sz w:val="30"/>
          <w:szCs w:val="30"/>
        </w:rPr>
        <w:t>利用</w:t>
      </w:r>
      <w:r>
        <w:rPr>
          <w:rFonts w:ascii="仿宋_GB2312" w:eastAsia="仿宋_GB2312" w:hAnsi="宋体"/>
          <w:color w:val="auto"/>
          <w:sz w:val="30"/>
          <w:szCs w:val="30"/>
        </w:rPr>
        <w:t>系统提示、本行发布的关联方名单等，</w:t>
      </w:r>
      <w:r>
        <w:rPr>
          <w:rFonts w:ascii="仿宋_GB2312" w:eastAsia="仿宋_GB2312" w:hAnsi="宋体" w:hint="eastAsia"/>
          <w:color w:val="auto"/>
          <w:sz w:val="30"/>
          <w:szCs w:val="30"/>
        </w:rPr>
        <w:t>对支用</w:t>
      </w:r>
      <w:r>
        <w:rPr>
          <w:rFonts w:ascii="仿宋_GB2312" w:eastAsia="仿宋_GB2312" w:hAnsi="宋体"/>
          <w:color w:val="auto"/>
          <w:sz w:val="30"/>
          <w:szCs w:val="30"/>
        </w:rPr>
        <w:t>申请主体填报信息进行核对，如</w:t>
      </w:r>
      <w:r>
        <w:rPr>
          <w:rFonts w:ascii="仿宋_GB2312" w:eastAsia="仿宋_GB2312" w:hAnsi="宋体" w:hint="eastAsia"/>
          <w:color w:val="auto"/>
          <w:sz w:val="30"/>
          <w:szCs w:val="30"/>
        </w:rPr>
        <w:t>不一致</w:t>
      </w:r>
      <w:r>
        <w:rPr>
          <w:rFonts w:ascii="仿宋_GB2312" w:eastAsia="仿宋_GB2312" w:hAnsi="宋体"/>
          <w:color w:val="auto"/>
          <w:sz w:val="30"/>
          <w:szCs w:val="30"/>
        </w:rPr>
        <w:t>进行退回处理。</w:t>
      </w:r>
    </w:p>
    <w:p w:rsidR="005C402C" w:rsidRDefault="005C402C" w:rsidP="005C402C">
      <w:pPr>
        <w:pStyle w:val="ae"/>
        <w:widowControl w:val="0"/>
        <w:tabs>
          <w:tab w:val="left" w:pos="1701"/>
        </w:tabs>
        <w:adjustRightInd w:val="0"/>
        <w:snapToGrid w:val="0"/>
        <w:spacing w:before="0" w:after="0" w:line="360" w:lineRule="auto"/>
        <w:ind w:firstLineChars="200" w:firstLine="602"/>
        <w:jc w:val="both"/>
        <w:rPr>
          <w:rFonts w:ascii="仿宋_GB2312" w:eastAsia="仿宋_GB2312" w:hAnsi="宋体"/>
          <w:color w:val="auto"/>
          <w:sz w:val="30"/>
          <w:szCs w:val="30"/>
        </w:rPr>
      </w:pPr>
      <w:r>
        <w:rPr>
          <w:rFonts w:ascii="仿宋_GB2312" w:eastAsia="仿宋_GB2312" w:hAnsi="宋体" w:hint="eastAsia"/>
          <w:b/>
          <w:color w:val="auto"/>
          <w:sz w:val="30"/>
          <w:szCs w:val="30"/>
        </w:rPr>
        <w:t>第十九</w:t>
      </w:r>
      <w:r>
        <w:rPr>
          <w:rFonts w:ascii="仿宋_GB2312" w:eastAsia="仿宋_GB2312" w:hAnsi="宋体"/>
          <w:b/>
          <w:color w:val="auto"/>
          <w:sz w:val="30"/>
          <w:szCs w:val="30"/>
        </w:rPr>
        <w:t>条</w:t>
      </w:r>
      <w:r>
        <w:rPr>
          <w:rFonts w:ascii="仿宋_GB2312" w:eastAsia="仿宋_GB2312" w:hAnsi="宋体" w:hint="eastAsia"/>
          <w:color w:val="auto"/>
          <w:sz w:val="30"/>
          <w:szCs w:val="30"/>
        </w:rPr>
        <w:t xml:space="preserve">  关联方退出。对纳入</w:t>
      </w:r>
      <w:r>
        <w:rPr>
          <w:rFonts w:ascii="仿宋_GB2312" w:eastAsia="仿宋_GB2312" w:hAnsi="宋体"/>
          <w:color w:val="auto"/>
          <w:sz w:val="30"/>
          <w:szCs w:val="30"/>
        </w:rPr>
        <w:t>本行关联方</w:t>
      </w:r>
      <w:r>
        <w:rPr>
          <w:rFonts w:ascii="仿宋_GB2312" w:eastAsia="仿宋_GB2312" w:hAnsi="宋体" w:hint="eastAsia"/>
          <w:color w:val="auto"/>
          <w:sz w:val="30"/>
          <w:szCs w:val="30"/>
        </w:rPr>
        <w:t>的</w:t>
      </w:r>
      <w:r>
        <w:rPr>
          <w:rFonts w:ascii="仿宋_GB2312" w:eastAsia="仿宋_GB2312" w:hAnsi="宋体"/>
          <w:color w:val="auto"/>
          <w:sz w:val="30"/>
          <w:szCs w:val="30"/>
        </w:rPr>
        <w:t>交易对手，</w:t>
      </w:r>
      <w:r>
        <w:rPr>
          <w:rFonts w:ascii="仿宋_GB2312" w:eastAsia="仿宋_GB2312" w:hAnsi="宋体" w:hint="eastAsia"/>
          <w:color w:val="auto"/>
          <w:sz w:val="30"/>
          <w:szCs w:val="30"/>
        </w:rPr>
        <w:t>如关联方信息收集和更新部门，或者交易发起部门、审查部门等发现其不再符合关联方认定条件的，应在识别后2个工作日内书面告知董事会办公室。董事会办公室认为理由成立的，应提交董事会进行确认。</w:t>
      </w:r>
    </w:p>
    <w:p w:rsidR="005C402C" w:rsidRDefault="005C402C" w:rsidP="005C402C">
      <w:pPr>
        <w:pStyle w:val="ae"/>
        <w:widowControl w:val="0"/>
        <w:tabs>
          <w:tab w:val="left" w:pos="1701"/>
        </w:tabs>
        <w:adjustRightInd w:val="0"/>
        <w:snapToGrid w:val="0"/>
        <w:spacing w:before="0" w:after="0" w:line="360" w:lineRule="auto"/>
        <w:ind w:firstLine="0"/>
        <w:jc w:val="center"/>
        <w:rPr>
          <w:rFonts w:ascii="仿宋_GB2312" w:eastAsia="仿宋_GB2312" w:hAnsi="宋体"/>
          <w:b/>
          <w:color w:val="auto"/>
          <w:sz w:val="30"/>
          <w:szCs w:val="30"/>
        </w:rPr>
      </w:pPr>
      <w:r>
        <w:rPr>
          <w:rFonts w:ascii="仿宋_GB2312" w:eastAsia="仿宋_GB2312" w:hAnsi="宋体" w:hint="eastAsia"/>
          <w:b/>
          <w:color w:val="auto"/>
          <w:sz w:val="30"/>
          <w:szCs w:val="30"/>
        </w:rPr>
        <w:t>第四</w:t>
      </w:r>
      <w:r>
        <w:rPr>
          <w:rFonts w:ascii="仿宋_GB2312" w:eastAsia="仿宋_GB2312" w:hAnsi="宋体"/>
          <w:b/>
          <w:color w:val="auto"/>
          <w:sz w:val="30"/>
          <w:szCs w:val="30"/>
        </w:rPr>
        <w:t>章</w:t>
      </w:r>
      <w:r>
        <w:rPr>
          <w:rFonts w:ascii="仿宋_GB2312" w:eastAsia="仿宋_GB2312" w:hAnsi="宋体" w:hint="eastAsia"/>
          <w:b/>
          <w:color w:val="auto"/>
          <w:sz w:val="30"/>
          <w:szCs w:val="30"/>
        </w:rPr>
        <w:t xml:space="preserve">  关联交易的定义、分类与</w:t>
      </w:r>
      <w:r>
        <w:rPr>
          <w:rFonts w:ascii="仿宋_GB2312" w:eastAsia="仿宋_GB2312" w:hAnsi="宋体"/>
          <w:b/>
          <w:color w:val="auto"/>
          <w:sz w:val="30"/>
          <w:szCs w:val="30"/>
        </w:rPr>
        <w:t>定价</w:t>
      </w:r>
    </w:p>
    <w:p w:rsidR="005C402C" w:rsidRDefault="005C402C" w:rsidP="005C402C">
      <w:pPr>
        <w:pStyle w:val="ae"/>
        <w:widowControl w:val="0"/>
        <w:tabs>
          <w:tab w:val="left" w:pos="1701"/>
        </w:tabs>
        <w:adjustRightInd w:val="0"/>
        <w:snapToGrid w:val="0"/>
        <w:spacing w:before="0" w:after="0" w:line="360" w:lineRule="auto"/>
        <w:ind w:firstLineChars="200" w:firstLine="602"/>
        <w:jc w:val="both"/>
        <w:rPr>
          <w:rFonts w:ascii="仿宋_GB2312" w:eastAsia="仿宋_GB2312" w:hAnsi="宋体"/>
          <w:color w:val="auto"/>
          <w:sz w:val="30"/>
          <w:szCs w:val="30"/>
        </w:rPr>
      </w:pPr>
      <w:r>
        <w:rPr>
          <w:rFonts w:ascii="仿宋_GB2312" w:eastAsia="仿宋_GB2312" w:hAnsi="宋体" w:hint="eastAsia"/>
          <w:b/>
          <w:color w:val="auto"/>
          <w:sz w:val="30"/>
          <w:szCs w:val="30"/>
        </w:rPr>
        <w:t>第二十条</w:t>
      </w:r>
      <w:r>
        <w:rPr>
          <w:rFonts w:ascii="仿宋_GB2312" w:eastAsia="仿宋_GB2312" w:hAnsi="宋体" w:hint="eastAsia"/>
          <w:color w:val="auto"/>
          <w:sz w:val="30"/>
          <w:szCs w:val="30"/>
        </w:rPr>
        <w:t xml:space="preserve">  本行的关联交易是指本行或本行控股子公司与本行关联方之间发生的转移资源、劳务或义务的事项，包括：</w:t>
      </w:r>
    </w:p>
    <w:p w:rsidR="005C402C" w:rsidRDefault="005C402C" w:rsidP="005C402C">
      <w:pPr>
        <w:pStyle w:val="ae"/>
        <w:widowControl w:val="0"/>
        <w:tabs>
          <w:tab w:val="left" w:pos="1701"/>
        </w:tabs>
        <w:adjustRightInd w:val="0"/>
        <w:snapToGrid w:val="0"/>
        <w:spacing w:before="0" w:after="0" w:line="360" w:lineRule="auto"/>
        <w:ind w:firstLineChars="200" w:firstLine="600"/>
        <w:jc w:val="both"/>
        <w:rPr>
          <w:rFonts w:ascii="仿宋_GB2312" w:eastAsia="仿宋_GB2312" w:hAnsi="宋体"/>
          <w:color w:val="auto"/>
          <w:sz w:val="30"/>
          <w:szCs w:val="30"/>
        </w:rPr>
      </w:pPr>
      <w:r>
        <w:rPr>
          <w:rFonts w:ascii="仿宋_GB2312" w:eastAsia="仿宋_GB2312" w:hAnsi="宋体" w:hint="eastAsia"/>
          <w:color w:val="auto"/>
          <w:sz w:val="30"/>
          <w:szCs w:val="30"/>
        </w:rPr>
        <w:t>（一）授信。</w:t>
      </w:r>
      <w:r>
        <w:rPr>
          <w:rFonts w:ascii="仿宋_GB2312" w:eastAsia="仿宋_GB2312" w:hAnsi="宋体"/>
          <w:color w:val="auto"/>
          <w:sz w:val="30"/>
          <w:szCs w:val="30"/>
        </w:rPr>
        <w:t>指</w:t>
      </w:r>
      <w:r>
        <w:rPr>
          <w:rFonts w:ascii="仿宋_GB2312" w:eastAsia="仿宋_GB2312" w:hAnsi="宋体" w:hint="eastAsia"/>
          <w:color w:val="auto"/>
          <w:sz w:val="30"/>
          <w:szCs w:val="30"/>
        </w:rPr>
        <w:t>本行向关联方直接提供资金支持，或者对关联方在有关经济活动中可能产生的赔偿、支付责任做出保证，包括贷款、贷款承诺、承兑、贴现、证券回购、债券投资、特定目的载体投资、贸易融资、保理、信用证、保函、透支、拆借、担保等表内外业务，</w:t>
      </w:r>
      <w:r>
        <w:rPr>
          <w:rFonts w:ascii="仿宋_GB2312" w:eastAsia="仿宋_GB2312" w:hAnsi="宋体"/>
          <w:color w:val="auto"/>
          <w:sz w:val="30"/>
          <w:szCs w:val="30"/>
        </w:rPr>
        <w:t>以及</w:t>
      </w:r>
      <w:r>
        <w:rPr>
          <w:rFonts w:ascii="仿宋_GB2312" w:eastAsia="仿宋_GB2312" w:hAnsi="宋体" w:hint="eastAsia"/>
          <w:color w:val="auto"/>
          <w:sz w:val="30"/>
          <w:szCs w:val="30"/>
        </w:rPr>
        <w:t>其他实质上由商业银行或商业银行发行的理财产品承担信用风险的业务，</w:t>
      </w:r>
      <w:r>
        <w:rPr>
          <w:rFonts w:ascii="仿宋_GB2312" w:eastAsia="仿宋_GB2312" w:hAnsi="宋体"/>
          <w:color w:val="auto"/>
          <w:sz w:val="30"/>
          <w:szCs w:val="30"/>
        </w:rPr>
        <w:t>并</w:t>
      </w:r>
      <w:r>
        <w:rPr>
          <w:rFonts w:ascii="仿宋_GB2312" w:eastAsia="仿宋_GB2312" w:hAnsi="宋体" w:hint="eastAsia"/>
          <w:color w:val="auto"/>
          <w:sz w:val="30"/>
          <w:szCs w:val="30"/>
        </w:rPr>
        <w:t>按照穿透原则确认最终债务人。</w:t>
      </w:r>
    </w:p>
    <w:p w:rsidR="005C402C" w:rsidRDefault="005C402C" w:rsidP="005C402C">
      <w:pPr>
        <w:pStyle w:val="ae"/>
        <w:widowControl w:val="0"/>
        <w:tabs>
          <w:tab w:val="left" w:pos="1701"/>
        </w:tabs>
        <w:adjustRightInd w:val="0"/>
        <w:snapToGrid w:val="0"/>
        <w:spacing w:before="0" w:after="0" w:line="360" w:lineRule="auto"/>
        <w:ind w:firstLineChars="200" w:firstLine="600"/>
        <w:jc w:val="both"/>
        <w:rPr>
          <w:rFonts w:ascii="仿宋_GB2312" w:eastAsia="仿宋_GB2312" w:hAnsi="宋体"/>
          <w:color w:val="auto"/>
          <w:sz w:val="30"/>
          <w:szCs w:val="30"/>
        </w:rPr>
      </w:pPr>
      <w:r>
        <w:rPr>
          <w:rFonts w:ascii="仿宋_GB2312" w:eastAsia="仿宋_GB2312" w:hAnsi="宋体" w:hint="eastAsia"/>
          <w:color w:val="auto"/>
          <w:sz w:val="30"/>
          <w:szCs w:val="30"/>
        </w:rPr>
        <w:t>（二）资产转移。指本行的自用动产与不动产的买卖（含购买原材料、燃料、动力和销售产品、商品）、信贷资产的买卖、</w:t>
      </w:r>
      <w:r>
        <w:rPr>
          <w:rFonts w:ascii="仿宋_GB2312" w:eastAsia="仿宋_GB2312" w:hAnsi="宋体" w:hint="eastAsia"/>
          <w:color w:val="auto"/>
          <w:sz w:val="30"/>
          <w:szCs w:val="30"/>
        </w:rPr>
        <w:lastRenderedPageBreak/>
        <w:t>抵债资产的接收和处置、租入或租出资产、资产的赠予或者受赠等。</w:t>
      </w:r>
    </w:p>
    <w:p w:rsidR="005C402C" w:rsidRDefault="005C402C" w:rsidP="005C402C">
      <w:pPr>
        <w:pStyle w:val="ae"/>
        <w:widowControl w:val="0"/>
        <w:tabs>
          <w:tab w:val="left" w:pos="1701"/>
        </w:tabs>
        <w:adjustRightInd w:val="0"/>
        <w:snapToGrid w:val="0"/>
        <w:spacing w:before="0" w:after="0" w:line="360" w:lineRule="auto"/>
        <w:ind w:firstLineChars="200" w:firstLine="600"/>
        <w:jc w:val="both"/>
        <w:rPr>
          <w:rFonts w:ascii="仿宋_GB2312" w:eastAsia="仿宋_GB2312" w:hAnsi="宋体"/>
          <w:color w:val="auto"/>
          <w:sz w:val="30"/>
          <w:szCs w:val="30"/>
        </w:rPr>
      </w:pPr>
      <w:r>
        <w:rPr>
          <w:rFonts w:ascii="仿宋_GB2312" w:eastAsia="仿宋_GB2312" w:hAnsi="宋体" w:hint="eastAsia"/>
          <w:color w:val="auto"/>
          <w:sz w:val="30"/>
          <w:szCs w:val="30"/>
        </w:rPr>
        <w:t>（三）提供或</w:t>
      </w:r>
      <w:r>
        <w:rPr>
          <w:rFonts w:ascii="仿宋_GB2312" w:eastAsia="仿宋_GB2312" w:hAnsi="宋体"/>
          <w:color w:val="auto"/>
          <w:sz w:val="30"/>
          <w:szCs w:val="30"/>
        </w:rPr>
        <w:t>接受</w:t>
      </w:r>
      <w:r>
        <w:rPr>
          <w:rFonts w:ascii="仿宋_GB2312" w:eastAsia="仿宋_GB2312" w:hAnsi="宋体" w:hint="eastAsia"/>
          <w:color w:val="auto"/>
          <w:sz w:val="30"/>
          <w:szCs w:val="30"/>
        </w:rPr>
        <w:t xml:space="preserve">服务。指本行向关联方提供咨询等服务或关联方向本行提供信用评估、资产评估、审计、法律等服务。 </w:t>
      </w:r>
    </w:p>
    <w:p w:rsidR="005C402C" w:rsidRDefault="005C402C" w:rsidP="005C402C">
      <w:pPr>
        <w:pStyle w:val="ae"/>
        <w:widowControl w:val="0"/>
        <w:tabs>
          <w:tab w:val="left" w:pos="1701"/>
        </w:tabs>
        <w:adjustRightInd w:val="0"/>
        <w:snapToGrid w:val="0"/>
        <w:spacing w:before="0" w:after="0" w:line="360" w:lineRule="auto"/>
        <w:ind w:firstLineChars="200" w:firstLine="600"/>
        <w:jc w:val="both"/>
        <w:rPr>
          <w:rFonts w:ascii="仿宋_GB2312" w:eastAsia="仿宋_GB2312" w:hAnsi="宋体"/>
          <w:color w:val="auto"/>
          <w:sz w:val="30"/>
          <w:szCs w:val="30"/>
        </w:rPr>
      </w:pPr>
      <w:r>
        <w:rPr>
          <w:rFonts w:ascii="仿宋_GB2312" w:eastAsia="仿宋_GB2312" w:hAnsi="宋体" w:hint="eastAsia"/>
          <w:color w:val="auto"/>
          <w:sz w:val="30"/>
          <w:szCs w:val="30"/>
        </w:rPr>
        <w:t>（四）</w:t>
      </w:r>
      <w:r>
        <w:rPr>
          <w:rFonts w:ascii="仿宋_GB2312" w:eastAsia="仿宋_GB2312" w:hAnsi="宋体"/>
          <w:color w:val="auto"/>
          <w:sz w:val="30"/>
          <w:szCs w:val="30"/>
        </w:rPr>
        <w:t>其他由</w:t>
      </w:r>
      <w:r>
        <w:rPr>
          <w:rFonts w:ascii="仿宋_GB2312" w:eastAsia="仿宋_GB2312" w:hAnsi="宋体" w:hint="eastAsia"/>
          <w:color w:val="auto"/>
          <w:sz w:val="30"/>
          <w:szCs w:val="30"/>
        </w:rPr>
        <w:t>银保监会、证监会及</w:t>
      </w:r>
      <w:r>
        <w:rPr>
          <w:rFonts w:ascii="仿宋_GB2312" w:eastAsia="仿宋_GB2312" w:hAnsi="宋体"/>
          <w:color w:val="auto"/>
          <w:sz w:val="30"/>
          <w:szCs w:val="30"/>
        </w:rPr>
        <w:t>上交所、联交所、会计准则</w:t>
      </w:r>
      <w:r>
        <w:rPr>
          <w:rFonts w:ascii="仿宋_GB2312" w:eastAsia="仿宋_GB2312" w:hAnsi="宋体" w:hint="eastAsia"/>
          <w:color w:val="auto"/>
          <w:sz w:val="30"/>
          <w:szCs w:val="30"/>
        </w:rPr>
        <w:t>等认定的其他通过约定可能引起资源、劳务或义务转移的事项。法律、行政法规、部门规章、监管要求及本行股票上市地监管机构和证券交易所规定与本行非关联方发生的特定交易应纳入关联交易管理的，按照本办法有关规定执行。</w:t>
      </w:r>
    </w:p>
    <w:p w:rsidR="005C402C" w:rsidRDefault="005C402C" w:rsidP="005C402C">
      <w:pPr>
        <w:pStyle w:val="ae"/>
        <w:widowControl w:val="0"/>
        <w:tabs>
          <w:tab w:val="left" w:pos="1701"/>
        </w:tabs>
        <w:adjustRightInd w:val="0"/>
        <w:snapToGrid w:val="0"/>
        <w:spacing w:before="0" w:after="0" w:line="360" w:lineRule="auto"/>
        <w:ind w:firstLineChars="200" w:firstLine="602"/>
        <w:jc w:val="both"/>
        <w:rPr>
          <w:rFonts w:ascii="仿宋_GB2312" w:eastAsia="仿宋_GB2312" w:hAnsi="宋体"/>
          <w:color w:val="auto"/>
          <w:sz w:val="30"/>
          <w:szCs w:val="30"/>
        </w:rPr>
      </w:pPr>
      <w:r>
        <w:rPr>
          <w:rFonts w:ascii="仿宋_GB2312" w:eastAsia="仿宋_GB2312" w:hAnsi="宋体" w:hint="eastAsia"/>
          <w:b/>
          <w:color w:val="auto"/>
          <w:sz w:val="30"/>
          <w:szCs w:val="30"/>
        </w:rPr>
        <w:t>第二十一</w:t>
      </w:r>
      <w:r>
        <w:rPr>
          <w:rFonts w:ascii="仿宋_GB2312" w:eastAsia="仿宋_GB2312" w:hAnsi="宋体"/>
          <w:b/>
          <w:color w:val="auto"/>
          <w:sz w:val="30"/>
          <w:szCs w:val="30"/>
        </w:rPr>
        <w:t>条</w:t>
      </w:r>
      <w:r>
        <w:rPr>
          <w:rFonts w:ascii="仿宋_GB2312" w:eastAsia="仿宋_GB2312" w:hAnsi="宋体" w:hint="eastAsia"/>
          <w:color w:val="auto"/>
          <w:sz w:val="30"/>
          <w:szCs w:val="30"/>
        </w:rPr>
        <w:t xml:space="preserve">  银保监会</w:t>
      </w:r>
      <w:r>
        <w:rPr>
          <w:rFonts w:ascii="仿宋_GB2312" w:eastAsia="仿宋_GB2312" w:hAnsi="宋体"/>
          <w:color w:val="auto"/>
          <w:sz w:val="30"/>
          <w:szCs w:val="30"/>
        </w:rPr>
        <w:t>口径下，</w:t>
      </w:r>
      <w:r>
        <w:rPr>
          <w:rFonts w:ascii="仿宋_GB2312" w:eastAsia="仿宋_GB2312" w:hAnsi="宋体" w:hint="eastAsia"/>
          <w:color w:val="auto"/>
          <w:sz w:val="30"/>
          <w:szCs w:val="30"/>
        </w:rPr>
        <w:t>根据交易金额与本行资本净额的比例关系，本行的关联交易分为一般关联交易和重大关联交易。</w:t>
      </w:r>
    </w:p>
    <w:p w:rsidR="005C402C" w:rsidRDefault="005C402C" w:rsidP="005C402C">
      <w:pPr>
        <w:pStyle w:val="ae"/>
        <w:widowControl w:val="0"/>
        <w:tabs>
          <w:tab w:val="left" w:pos="1701"/>
        </w:tabs>
        <w:adjustRightInd w:val="0"/>
        <w:snapToGrid w:val="0"/>
        <w:spacing w:before="0" w:after="0" w:line="360" w:lineRule="auto"/>
        <w:ind w:firstLineChars="200" w:firstLine="600"/>
        <w:jc w:val="both"/>
        <w:rPr>
          <w:rFonts w:ascii="仿宋_GB2312" w:eastAsia="仿宋_GB2312" w:hAnsi="宋体"/>
          <w:color w:val="auto"/>
          <w:sz w:val="30"/>
          <w:szCs w:val="30"/>
        </w:rPr>
      </w:pPr>
      <w:r>
        <w:rPr>
          <w:rFonts w:ascii="仿宋_GB2312" w:eastAsia="仿宋_GB2312" w:hAnsi="宋体" w:hint="eastAsia"/>
          <w:color w:val="auto"/>
          <w:sz w:val="30"/>
          <w:szCs w:val="30"/>
        </w:rPr>
        <w:t>（一）一般关联交易是指本行与一个关联方之间单笔交易金额占本行资本净额1%（含）以下，且该笔交易发生后本行与该关联方的交易余额占本行资本净额5%（含）以下的交易。重大关联交易是指本行与一个关联方之间单笔交易金额占本行资本净额1%（不含）以上，或本行与一个关联方发生交易后本行与该关联方的交易余额占本行资本净额5%（不含）以上的交易。</w:t>
      </w:r>
    </w:p>
    <w:p w:rsidR="005C402C" w:rsidRDefault="005C402C" w:rsidP="005C402C">
      <w:pPr>
        <w:pStyle w:val="ae"/>
        <w:widowControl w:val="0"/>
        <w:tabs>
          <w:tab w:val="left" w:pos="1701"/>
        </w:tabs>
        <w:adjustRightInd w:val="0"/>
        <w:snapToGrid w:val="0"/>
        <w:spacing w:before="0" w:after="0" w:line="360" w:lineRule="auto"/>
        <w:ind w:firstLineChars="200" w:firstLine="600"/>
        <w:jc w:val="both"/>
        <w:rPr>
          <w:rFonts w:ascii="仿宋_GB2312" w:eastAsia="仿宋_GB2312" w:hAnsi="宋体"/>
          <w:color w:val="auto"/>
          <w:sz w:val="30"/>
          <w:szCs w:val="30"/>
        </w:rPr>
      </w:pPr>
      <w:r>
        <w:rPr>
          <w:rFonts w:ascii="仿宋_GB2312" w:eastAsia="仿宋_GB2312" w:hAnsi="宋体" w:hint="eastAsia"/>
          <w:color w:val="auto"/>
          <w:sz w:val="30"/>
          <w:szCs w:val="30"/>
        </w:rPr>
        <w:t>（二）关联交易金额的计算。</w:t>
      </w:r>
    </w:p>
    <w:p w:rsidR="005C402C" w:rsidRDefault="005C402C" w:rsidP="005C402C">
      <w:pPr>
        <w:pStyle w:val="ae"/>
        <w:widowControl w:val="0"/>
        <w:tabs>
          <w:tab w:val="left" w:pos="1701"/>
        </w:tabs>
        <w:adjustRightInd w:val="0"/>
        <w:snapToGrid w:val="0"/>
        <w:spacing w:before="0" w:after="0" w:line="360" w:lineRule="auto"/>
        <w:ind w:firstLineChars="200" w:firstLine="600"/>
        <w:jc w:val="both"/>
        <w:rPr>
          <w:rFonts w:ascii="仿宋_GB2312" w:eastAsia="仿宋_GB2312" w:hAnsi="宋体"/>
          <w:color w:val="auto"/>
          <w:sz w:val="30"/>
          <w:szCs w:val="30"/>
        </w:rPr>
      </w:pPr>
      <w:r>
        <w:rPr>
          <w:rFonts w:ascii="仿宋_GB2312" w:eastAsia="仿宋_GB2312" w:hAnsi="宋体" w:hint="eastAsia"/>
          <w:color w:val="auto"/>
          <w:sz w:val="30"/>
          <w:szCs w:val="30"/>
        </w:rPr>
        <w:t>授信类交易的交易余额应为本行与同一关联方及其集团所有成员的授信总额。非授信类交易的交易余额应为本行在12个月内连续与同一关联方发生的全部相关交易余额的累计金额。同时涉及</w:t>
      </w:r>
      <w:r>
        <w:rPr>
          <w:rFonts w:ascii="仿宋_GB2312" w:eastAsia="仿宋_GB2312" w:hAnsi="宋体"/>
          <w:color w:val="auto"/>
          <w:sz w:val="30"/>
          <w:szCs w:val="30"/>
        </w:rPr>
        <w:t>授信类、非授信类的交易，</w:t>
      </w:r>
      <w:r>
        <w:rPr>
          <w:rFonts w:ascii="仿宋_GB2312" w:eastAsia="仿宋_GB2312" w:hAnsi="宋体" w:hint="eastAsia"/>
          <w:color w:val="auto"/>
          <w:sz w:val="30"/>
          <w:szCs w:val="30"/>
        </w:rPr>
        <w:t>交易余额按照本条规定分别计算。</w:t>
      </w:r>
    </w:p>
    <w:p w:rsidR="005C402C" w:rsidRDefault="005C402C" w:rsidP="005C402C">
      <w:pPr>
        <w:pStyle w:val="ae"/>
        <w:widowControl w:val="0"/>
        <w:tabs>
          <w:tab w:val="left" w:pos="1701"/>
        </w:tabs>
        <w:adjustRightInd w:val="0"/>
        <w:snapToGrid w:val="0"/>
        <w:spacing w:before="0" w:after="0" w:line="360" w:lineRule="auto"/>
        <w:ind w:firstLineChars="200" w:firstLine="600"/>
        <w:jc w:val="both"/>
        <w:rPr>
          <w:rFonts w:ascii="仿宋_GB2312" w:eastAsia="仿宋_GB2312" w:hAnsi="宋体"/>
          <w:color w:val="auto"/>
          <w:sz w:val="30"/>
          <w:szCs w:val="30"/>
        </w:rPr>
      </w:pPr>
      <w:r>
        <w:rPr>
          <w:rFonts w:ascii="仿宋_GB2312" w:eastAsia="仿宋_GB2312" w:hAnsi="宋体" w:hint="eastAsia"/>
          <w:color w:val="auto"/>
          <w:sz w:val="30"/>
          <w:szCs w:val="30"/>
        </w:rPr>
        <w:lastRenderedPageBreak/>
        <w:t>计算关联自然人与本行的交易余额时，其近亲属与本行的交易应当合并计算；计算关联法人或其他组织与本行的交易余额时，与其构成集团客户的法人或其他组织与本行的交易应当合并计算。</w:t>
      </w:r>
    </w:p>
    <w:p w:rsidR="005C402C" w:rsidRDefault="005C402C" w:rsidP="005C402C">
      <w:pPr>
        <w:pStyle w:val="ae"/>
        <w:widowControl w:val="0"/>
        <w:tabs>
          <w:tab w:val="left" w:pos="1701"/>
        </w:tabs>
        <w:adjustRightInd w:val="0"/>
        <w:snapToGrid w:val="0"/>
        <w:spacing w:before="0" w:after="0" w:line="360" w:lineRule="auto"/>
        <w:ind w:firstLineChars="200" w:firstLine="600"/>
        <w:jc w:val="both"/>
        <w:rPr>
          <w:rFonts w:ascii="仿宋_GB2312" w:eastAsia="仿宋_GB2312" w:hAnsi="宋体"/>
          <w:color w:val="auto"/>
          <w:sz w:val="30"/>
          <w:szCs w:val="30"/>
        </w:rPr>
      </w:pPr>
      <w:r>
        <w:rPr>
          <w:rFonts w:ascii="仿宋_GB2312" w:eastAsia="仿宋_GB2312" w:hAnsi="宋体"/>
          <w:color w:val="auto"/>
          <w:sz w:val="30"/>
          <w:szCs w:val="30"/>
        </w:rPr>
        <w:t>本</w:t>
      </w:r>
      <w:r>
        <w:rPr>
          <w:rFonts w:ascii="仿宋_GB2312" w:eastAsia="仿宋_GB2312" w:hAnsi="宋体" w:hint="eastAsia"/>
          <w:color w:val="auto"/>
          <w:sz w:val="30"/>
          <w:szCs w:val="30"/>
        </w:rPr>
        <w:t>条规定</w:t>
      </w:r>
      <w:r>
        <w:rPr>
          <w:rFonts w:ascii="仿宋_GB2312" w:eastAsia="仿宋_GB2312" w:hAnsi="宋体"/>
          <w:color w:val="auto"/>
          <w:sz w:val="30"/>
          <w:szCs w:val="30"/>
        </w:rPr>
        <w:t>的</w:t>
      </w:r>
      <w:r>
        <w:rPr>
          <w:rFonts w:ascii="仿宋_GB2312" w:eastAsia="仿宋_GB2312" w:hAnsi="宋体" w:hint="eastAsia"/>
          <w:color w:val="auto"/>
          <w:sz w:val="30"/>
          <w:szCs w:val="30"/>
        </w:rPr>
        <w:t>“</w:t>
      </w:r>
      <w:r>
        <w:rPr>
          <w:rFonts w:ascii="仿宋_GB2312" w:eastAsia="仿宋_GB2312" w:hAnsi="宋体"/>
          <w:color w:val="auto"/>
          <w:sz w:val="30"/>
          <w:szCs w:val="30"/>
        </w:rPr>
        <w:t>资本净额</w:t>
      </w:r>
      <w:r>
        <w:rPr>
          <w:rFonts w:ascii="仿宋_GB2312" w:eastAsia="仿宋_GB2312" w:hAnsi="宋体" w:hint="eastAsia"/>
          <w:color w:val="auto"/>
          <w:sz w:val="30"/>
          <w:szCs w:val="30"/>
        </w:rPr>
        <w:t>”原则上</w:t>
      </w:r>
      <w:r>
        <w:rPr>
          <w:rFonts w:ascii="仿宋_GB2312" w:eastAsia="仿宋_GB2312" w:hAnsi="宋体"/>
          <w:color w:val="auto"/>
          <w:sz w:val="30"/>
          <w:szCs w:val="30"/>
        </w:rPr>
        <w:t>指</w:t>
      </w:r>
      <w:r>
        <w:rPr>
          <w:rFonts w:ascii="仿宋_GB2312" w:eastAsia="仿宋_GB2312" w:hAnsi="宋体" w:hint="eastAsia"/>
          <w:color w:val="auto"/>
          <w:sz w:val="30"/>
          <w:szCs w:val="30"/>
        </w:rPr>
        <w:t>关联交易提交日</w:t>
      </w:r>
      <w:r>
        <w:rPr>
          <w:rFonts w:ascii="仿宋_GB2312" w:eastAsia="仿宋_GB2312" w:hAnsi="宋体"/>
          <w:color w:val="auto"/>
          <w:sz w:val="30"/>
          <w:szCs w:val="30"/>
        </w:rPr>
        <w:t>上季末资本净额</w:t>
      </w:r>
      <w:r>
        <w:rPr>
          <w:rFonts w:ascii="仿宋_GB2312" w:eastAsia="仿宋_GB2312" w:hAnsi="宋体" w:hint="eastAsia"/>
          <w:color w:val="auto"/>
          <w:sz w:val="30"/>
          <w:szCs w:val="30"/>
        </w:rPr>
        <w:t>。若遇季初无法获取的，则可追溯至上一季度资本净额</w:t>
      </w:r>
      <w:r>
        <w:rPr>
          <w:rFonts w:ascii="仿宋_GB2312" w:eastAsia="仿宋_GB2312" w:hAnsi="宋体"/>
          <w:color w:val="auto"/>
          <w:sz w:val="30"/>
          <w:szCs w:val="30"/>
        </w:rPr>
        <w:t>。</w:t>
      </w:r>
    </w:p>
    <w:p w:rsidR="005C402C" w:rsidRDefault="005C402C" w:rsidP="005C402C">
      <w:pPr>
        <w:pStyle w:val="ae"/>
        <w:widowControl w:val="0"/>
        <w:tabs>
          <w:tab w:val="left" w:pos="1701"/>
        </w:tabs>
        <w:adjustRightInd w:val="0"/>
        <w:snapToGrid w:val="0"/>
        <w:spacing w:before="0" w:after="0" w:line="360" w:lineRule="auto"/>
        <w:ind w:firstLineChars="200" w:firstLine="602"/>
        <w:jc w:val="both"/>
        <w:rPr>
          <w:rFonts w:ascii="仿宋_GB2312" w:eastAsia="仿宋_GB2312" w:hAnsi="宋体"/>
          <w:color w:val="auto"/>
          <w:sz w:val="30"/>
          <w:szCs w:val="30"/>
        </w:rPr>
      </w:pPr>
      <w:r>
        <w:rPr>
          <w:rFonts w:ascii="仿宋_GB2312" w:eastAsia="仿宋_GB2312" w:hAnsi="宋体" w:hint="eastAsia"/>
          <w:b/>
          <w:color w:val="auto"/>
          <w:sz w:val="30"/>
          <w:szCs w:val="30"/>
        </w:rPr>
        <w:t>第二十二条</w:t>
      </w:r>
      <w:r>
        <w:rPr>
          <w:rFonts w:ascii="仿宋_GB2312" w:eastAsia="仿宋_GB2312" w:hAnsi="宋体" w:hint="eastAsia"/>
          <w:color w:val="auto"/>
          <w:sz w:val="30"/>
          <w:szCs w:val="30"/>
        </w:rPr>
        <w:t xml:space="preserve">  证监会及上交所口径下，关联交易分为需及时披露的关联交易、需董事会审议和及时披露的关联交易、需股东大会审议和及时披露的关联交易、其他类型的关联交易。及时</w:t>
      </w:r>
      <w:r>
        <w:rPr>
          <w:rFonts w:ascii="仿宋_GB2312" w:eastAsia="仿宋_GB2312" w:hAnsi="宋体"/>
          <w:color w:val="auto"/>
          <w:sz w:val="30"/>
          <w:szCs w:val="30"/>
        </w:rPr>
        <w:t>披露是指</w:t>
      </w:r>
      <w:r>
        <w:rPr>
          <w:rFonts w:ascii="仿宋_GB2312" w:eastAsia="仿宋_GB2312" w:hAnsi="宋体" w:hint="eastAsia"/>
          <w:color w:val="auto"/>
          <w:sz w:val="30"/>
          <w:szCs w:val="30"/>
        </w:rPr>
        <w:t>自起算日起或者触及披露时点的两个交易日内进行披露</w:t>
      </w:r>
      <w:r>
        <w:rPr>
          <w:rFonts w:ascii="仿宋_GB2312" w:eastAsia="仿宋_GB2312" w:hAnsi="宋体"/>
          <w:color w:val="auto"/>
          <w:sz w:val="30"/>
          <w:szCs w:val="30"/>
        </w:rPr>
        <w:t>。</w:t>
      </w:r>
    </w:p>
    <w:p w:rsidR="005C402C" w:rsidRDefault="005C402C" w:rsidP="005C402C">
      <w:pPr>
        <w:pStyle w:val="ae"/>
        <w:widowControl w:val="0"/>
        <w:tabs>
          <w:tab w:val="left" w:pos="1701"/>
        </w:tabs>
        <w:adjustRightInd w:val="0"/>
        <w:snapToGrid w:val="0"/>
        <w:spacing w:before="0" w:after="0" w:line="360" w:lineRule="auto"/>
        <w:ind w:firstLineChars="200" w:firstLine="600"/>
        <w:jc w:val="both"/>
        <w:rPr>
          <w:rFonts w:ascii="仿宋_GB2312" w:eastAsia="仿宋_GB2312" w:hAnsi="宋体"/>
          <w:color w:val="auto"/>
          <w:sz w:val="30"/>
          <w:szCs w:val="30"/>
        </w:rPr>
      </w:pPr>
      <w:r>
        <w:rPr>
          <w:rFonts w:ascii="仿宋_GB2312" w:eastAsia="仿宋_GB2312" w:hAnsi="宋体" w:hint="eastAsia"/>
          <w:color w:val="auto"/>
          <w:sz w:val="30"/>
          <w:szCs w:val="30"/>
        </w:rPr>
        <w:t>（一）需及时披露的关联</w:t>
      </w:r>
      <w:r>
        <w:rPr>
          <w:rFonts w:ascii="仿宋_GB2312" w:eastAsia="仿宋_GB2312" w:hAnsi="宋体"/>
          <w:color w:val="auto"/>
          <w:sz w:val="30"/>
          <w:szCs w:val="30"/>
        </w:rPr>
        <w:t>交易包括</w:t>
      </w:r>
      <w:r>
        <w:rPr>
          <w:rFonts w:ascii="仿宋_GB2312" w:eastAsia="仿宋_GB2312" w:hAnsi="宋体" w:hint="eastAsia"/>
          <w:color w:val="auto"/>
          <w:sz w:val="30"/>
          <w:szCs w:val="30"/>
        </w:rPr>
        <w:t>：</w:t>
      </w:r>
    </w:p>
    <w:p w:rsidR="005C402C" w:rsidRDefault="005C402C" w:rsidP="005C402C">
      <w:pPr>
        <w:pStyle w:val="ae"/>
        <w:widowControl w:val="0"/>
        <w:tabs>
          <w:tab w:val="left" w:pos="1701"/>
        </w:tabs>
        <w:adjustRightInd w:val="0"/>
        <w:snapToGrid w:val="0"/>
        <w:spacing w:before="0" w:after="0" w:line="360" w:lineRule="auto"/>
        <w:ind w:firstLineChars="200" w:firstLine="600"/>
        <w:jc w:val="both"/>
        <w:rPr>
          <w:rFonts w:ascii="仿宋_GB2312" w:eastAsia="仿宋_GB2312" w:hAnsi="宋体"/>
          <w:color w:val="auto"/>
          <w:sz w:val="30"/>
          <w:szCs w:val="30"/>
        </w:rPr>
      </w:pPr>
      <w:r>
        <w:rPr>
          <w:rFonts w:ascii="仿宋_GB2312" w:eastAsia="仿宋_GB2312" w:hAnsi="宋体"/>
          <w:color w:val="auto"/>
          <w:sz w:val="30"/>
          <w:szCs w:val="30"/>
        </w:rPr>
        <w:t>1.</w:t>
      </w:r>
      <w:r>
        <w:rPr>
          <w:rFonts w:ascii="仿宋_GB2312" w:eastAsia="仿宋_GB2312" w:hAnsi="宋体" w:hint="eastAsia"/>
          <w:color w:val="auto"/>
          <w:sz w:val="30"/>
          <w:szCs w:val="30"/>
        </w:rPr>
        <w:t>首次发生的日常关联交易（如提供</w:t>
      </w:r>
      <w:r>
        <w:rPr>
          <w:rFonts w:ascii="仿宋_GB2312" w:eastAsia="仿宋_GB2312" w:hAnsi="宋体"/>
          <w:color w:val="auto"/>
          <w:sz w:val="30"/>
          <w:szCs w:val="30"/>
        </w:rPr>
        <w:t>或接受劳务、</w:t>
      </w:r>
      <w:r>
        <w:rPr>
          <w:rFonts w:ascii="仿宋_GB2312" w:eastAsia="仿宋_GB2312" w:hAnsi="宋体" w:hint="eastAsia"/>
          <w:color w:val="auto"/>
          <w:sz w:val="30"/>
          <w:szCs w:val="30"/>
        </w:rPr>
        <w:t>委托或者受托销售等，下同），应当与关联方订立书面协议并及时披露；</w:t>
      </w:r>
    </w:p>
    <w:p w:rsidR="005C402C" w:rsidRDefault="005C402C" w:rsidP="005C402C">
      <w:pPr>
        <w:pStyle w:val="ae"/>
        <w:widowControl w:val="0"/>
        <w:tabs>
          <w:tab w:val="left" w:pos="1701"/>
        </w:tabs>
        <w:adjustRightInd w:val="0"/>
        <w:snapToGrid w:val="0"/>
        <w:spacing w:before="0" w:after="0" w:line="360" w:lineRule="auto"/>
        <w:ind w:firstLineChars="200" w:firstLine="600"/>
        <w:jc w:val="both"/>
        <w:rPr>
          <w:rFonts w:ascii="仿宋_GB2312" w:eastAsia="仿宋_GB2312" w:hAnsi="宋体"/>
          <w:color w:val="auto"/>
          <w:sz w:val="30"/>
          <w:szCs w:val="30"/>
        </w:rPr>
      </w:pPr>
      <w:r>
        <w:rPr>
          <w:rFonts w:ascii="仿宋_GB2312" w:eastAsia="仿宋_GB2312" w:hAnsi="宋体" w:hint="eastAsia"/>
          <w:color w:val="auto"/>
          <w:sz w:val="30"/>
          <w:szCs w:val="30"/>
        </w:rPr>
        <w:t>2.与关联法人拟发生的交易金额在300万元（含）以上、且占本行最近一期经审计净资产绝对值0.5％（含）以上的关联交易（本行提供担保除外）。</w:t>
      </w:r>
    </w:p>
    <w:p w:rsidR="005C402C" w:rsidRDefault="005C402C" w:rsidP="005C402C">
      <w:pPr>
        <w:pStyle w:val="ae"/>
        <w:widowControl w:val="0"/>
        <w:tabs>
          <w:tab w:val="left" w:pos="1701"/>
        </w:tabs>
        <w:adjustRightInd w:val="0"/>
        <w:snapToGrid w:val="0"/>
        <w:spacing w:before="0" w:after="0" w:line="360" w:lineRule="auto"/>
        <w:ind w:firstLineChars="200" w:firstLine="600"/>
        <w:jc w:val="both"/>
        <w:rPr>
          <w:rFonts w:ascii="仿宋_GB2312" w:eastAsia="仿宋_GB2312" w:hAnsi="宋体"/>
          <w:color w:val="auto"/>
          <w:sz w:val="30"/>
          <w:szCs w:val="30"/>
        </w:rPr>
      </w:pPr>
      <w:r>
        <w:rPr>
          <w:rFonts w:ascii="仿宋_GB2312" w:eastAsia="仿宋_GB2312" w:hAnsi="宋体" w:hint="eastAsia"/>
          <w:color w:val="auto"/>
          <w:sz w:val="30"/>
          <w:szCs w:val="30"/>
        </w:rPr>
        <w:t>本行在定期报告中披露与关联自然人发生关联交易的余额及其风险敞口。</w:t>
      </w:r>
    </w:p>
    <w:p w:rsidR="005C402C" w:rsidRDefault="005C402C" w:rsidP="005C402C">
      <w:pPr>
        <w:pStyle w:val="ae"/>
        <w:widowControl w:val="0"/>
        <w:tabs>
          <w:tab w:val="left" w:pos="1701"/>
        </w:tabs>
        <w:adjustRightInd w:val="0"/>
        <w:snapToGrid w:val="0"/>
        <w:spacing w:before="0" w:after="0" w:line="360" w:lineRule="auto"/>
        <w:ind w:firstLineChars="200" w:firstLine="600"/>
        <w:jc w:val="both"/>
        <w:rPr>
          <w:rFonts w:ascii="仿宋_GB2312" w:eastAsia="仿宋_GB2312" w:hAnsi="宋体"/>
          <w:color w:val="auto"/>
          <w:sz w:val="30"/>
          <w:szCs w:val="30"/>
        </w:rPr>
      </w:pPr>
      <w:r>
        <w:rPr>
          <w:rFonts w:ascii="仿宋_GB2312" w:eastAsia="仿宋_GB2312" w:hAnsi="宋体" w:hint="eastAsia"/>
          <w:color w:val="auto"/>
          <w:sz w:val="30"/>
          <w:szCs w:val="30"/>
        </w:rPr>
        <w:t>（二）需董事会审议和及时披露的关联</w:t>
      </w:r>
      <w:r>
        <w:rPr>
          <w:rFonts w:ascii="仿宋_GB2312" w:eastAsia="仿宋_GB2312" w:hAnsi="宋体"/>
          <w:color w:val="auto"/>
          <w:sz w:val="30"/>
          <w:szCs w:val="30"/>
        </w:rPr>
        <w:t>交易包括</w:t>
      </w:r>
      <w:r>
        <w:rPr>
          <w:rFonts w:ascii="仿宋_GB2312" w:eastAsia="仿宋_GB2312" w:hAnsi="宋体" w:hint="eastAsia"/>
          <w:color w:val="auto"/>
          <w:sz w:val="30"/>
          <w:szCs w:val="30"/>
        </w:rPr>
        <w:t>：</w:t>
      </w:r>
    </w:p>
    <w:p w:rsidR="005C402C" w:rsidRDefault="005C402C" w:rsidP="005C402C">
      <w:pPr>
        <w:pStyle w:val="ae"/>
        <w:widowControl w:val="0"/>
        <w:tabs>
          <w:tab w:val="left" w:pos="1701"/>
        </w:tabs>
        <w:adjustRightInd w:val="0"/>
        <w:snapToGrid w:val="0"/>
        <w:spacing w:before="0" w:after="0" w:line="360" w:lineRule="auto"/>
        <w:ind w:firstLineChars="200" w:firstLine="600"/>
        <w:jc w:val="both"/>
        <w:rPr>
          <w:rFonts w:ascii="仿宋_GB2312" w:eastAsia="仿宋_GB2312" w:hAnsi="宋体"/>
          <w:color w:val="auto"/>
          <w:sz w:val="30"/>
          <w:szCs w:val="30"/>
        </w:rPr>
      </w:pPr>
      <w:r>
        <w:rPr>
          <w:rFonts w:ascii="仿宋_GB2312" w:eastAsia="仿宋_GB2312" w:hAnsi="宋体" w:hint="eastAsia"/>
          <w:color w:val="auto"/>
          <w:sz w:val="30"/>
          <w:szCs w:val="30"/>
        </w:rPr>
        <w:t>交易金额在3000万元（含）以上且占最近一期经审计净资产1%（含）以上的关联交易。</w:t>
      </w:r>
    </w:p>
    <w:p w:rsidR="005C402C" w:rsidRDefault="005C402C" w:rsidP="005C402C">
      <w:pPr>
        <w:pStyle w:val="ae"/>
        <w:widowControl w:val="0"/>
        <w:tabs>
          <w:tab w:val="left" w:pos="1701"/>
        </w:tabs>
        <w:adjustRightInd w:val="0"/>
        <w:snapToGrid w:val="0"/>
        <w:spacing w:before="0" w:after="0" w:line="360" w:lineRule="auto"/>
        <w:ind w:firstLineChars="200" w:firstLine="600"/>
        <w:jc w:val="both"/>
        <w:rPr>
          <w:rFonts w:ascii="仿宋_GB2312" w:eastAsia="仿宋_GB2312" w:hAnsi="宋体"/>
          <w:color w:val="auto"/>
          <w:sz w:val="30"/>
          <w:szCs w:val="30"/>
        </w:rPr>
      </w:pPr>
      <w:r>
        <w:rPr>
          <w:rFonts w:ascii="仿宋_GB2312" w:eastAsia="仿宋_GB2312" w:hAnsi="宋体" w:hint="eastAsia"/>
          <w:color w:val="auto"/>
          <w:sz w:val="30"/>
          <w:szCs w:val="30"/>
        </w:rPr>
        <w:t>（三）需股东大会审议和及时披露的关联</w:t>
      </w:r>
      <w:r>
        <w:rPr>
          <w:rFonts w:ascii="仿宋_GB2312" w:eastAsia="仿宋_GB2312" w:hAnsi="宋体"/>
          <w:color w:val="auto"/>
          <w:sz w:val="30"/>
          <w:szCs w:val="30"/>
        </w:rPr>
        <w:t>交易包括</w:t>
      </w:r>
      <w:r>
        <w:rPr>
          <w:rFonts w:ascii="仿宋_GB2312" w:eastAsia="仿宋_GB2312" w:hAnsi="宋体" w:hint="eastAsia"/>
          <w:color w:val="auto"/>
          <w:sz w:val="30"/>
          <w:szCs w:val="30"/>
        </w:rPr>
        <w:t>：</w:t>
      </w:r>
    </w:p>
    <w:p w:rsidR="005C402C" w:rsidRDefault="005C402C" w:rsidP="005C402C">
      <w:pPr>
        <w:pStyle w:val="ae"/>
        <w:widowControl w:val="0"/>
        <w:tabs>
          <w:tab w:val="left" w:pos="1701"/>
        </w:tabs>
        <w:adjustRightInd w:val="0"/>
        <w:snapToGrid w:val="0"/>
        <w:spacing w:before="0" w:after="0" w:line="360" w:lineRule="auto"/>
        <w:ind w:firstLineChars="200" w:firstLine="600"/>
        <w:jc w:val="both"/>
        <w:rPr>
          <w:rFonts w:ascii="仿宋_GB2312" w:eastAsia="仿宋_GB2312" w:hAnsi="宋体"/>
          <w:color w:val="auto"/>
          <w:sz w:val="30"/>
          <w:szCs w:val="30"/>
        </w:rPr>
      </w:pPr>
      <w:r>
        <w:rPr>
          <w:rFonts w:ascii="仿宋_GB2312" w:eastAsia="仿宋_GB2312" w:hAnsi="宋体"/>
          <w:color w:val="auto"/>
          <w:sz w:val="30"/>
          <w:szCs w:val="30"/>
        </w:rPr>
        <w:t>1</w:t>
      </w:r>
      <w:r>
        <w:rPr>
          <w:rFonts w:ascii="仿宋_GB2312" w:eastAsia="仿宋_GB2312" w:hAnsi="宋体" w:hint="eastAsia"/>
          <w:color w:val="auto"/>
          <w:sz w:val="30"/>
          <w:szCs w:val="30"/>
        </w:rPr>
        <w:t>.交易</w:t>
      </w:r>
      <w:r>
        <w:rPr>
          <w:rFonts w:ascii="仿宋_GB2312" w:eastAsia="仿宋_GB2312" w:hAnsi="宋体" w:hint="eastAsia"/>
          <w:sz w:val="30"/>
          <w:szCs w:val="30"/>
        </w:rPr>
        <w:t>（本行提供担保、受赠现金资产、单纯减免本行义务的债务除外）</w:t>
      </w:r>
      <w:r>
        <w:rPr>
          <w:rFonts w:ascii="仿宋_GB2312" w:eastAsia="仿宋_GB2312" w:hAnsi="宋体" w:hint="eastAsia"/>
          <w:color w:val="auto"/>
          <w:sz w:val="30"/>
          <w:szCs w:val="30"/>
        </w:rPr>
        <w:t>金额在3000万元（含）以上，且占本行最近一期</w:t>
      </w:r>
      <w:r>
        <w:rPr>
          <w:rFonts w:ascii="仿宋_GB2312" w:eastAsia="仿宋_GB2312" w:hAnsi="宋体" w:hint="eastAsia"/>
          <w:color w:val="auto"/>
          <w:sz w:val="30"/>
          <w:szCs w:val="30"/>
        </w:rPr>
        <w:lastRenderedPageBreak/>
        <w:t>经审计净资产绝对值5％（含）以上的重大关联交易。本行拟发生重大关联交易的，应当提供具有执行证券、期货相关业务资格的证券服务机构对交易标的出具的审计或者评估报告。对于与日常经营相关的关联交易所涉及的交易标的，可以不进行审计或者评估；</w:t>
      </w:r>
    </w:p>
    <w:p w:rsidR="005C402C" w:rsidRDefault="005C402C" w:rsidP="005C402C">
      <w:pPr>
        <w:pStyle w:val="ae"/>
        <w:widowControl w:val="0"/>
        <w:tabs>
          <w:tab w:val="left" w:pos="1701"/>
        </w:tabs>
        <w:adjustRightInd w:val="0"/>
        <w:snapToGrid w:val="0"/>
        <w:spacing w:before="0" w:after="0" w:line="360" w:lineRule="auto"/>
        <w:ind w:firstLineChars="200" w:firstLine="600"/>
        <w:jc w:val="both"/>
        <w:rPr>
          <w:rFonts w:ascii="仿宋_GB2312" w:eastAsia="仿宋_GB2312" w:hAnsi="宋体"/>
          <w:color w:val="auto"/>
          <w:sz w:val="30"/>
          <w:szCs w:val="30"/>
        </w:rPr>
      </w:pPr>
      <w:r>
        <w:rPr>
          <w:rFonts w:ascii="仿宋_GB2312" w:eastAsia="仿宋_GB2312" w:hAnsi="宋体"/>
          <w:color w:val="auto"/>
          <w:sz w:val="30"/>
          <w:szCs w:val="30"/>
        </w:rPr>
        <w:t>2.</w:t>
      </w:r>
      <w:r>
        <w:rPr>
          <w:rFonts w:ascii="仿宋_GB2312" w:eastAsia="仿宋_GB2312" w:hAnsi="宋体" w:hint="eastAsia"/>
          <w:color w:val="auto"/>
          <w:sz w:val="30"/>
          <w:szCs w:val="30"/>
        </w:rPr>
        <w:t>本行为关联人提供担保的情形（无论金额大小）。</w:t>
      </w:r>
    </w:p>
    <w:p w:rsidR="005C402C" w:rsidRDefault="005C402C" w:rsidP="005C402C">
      <w:pPr>
        <w:pStyle w:val="ae"/>
        <w:widowControl w:val="0"/>
        <w:tabs>
          <w:tab w:val="left" w:pos="1701"/>
        </w:tabs>
        <w:adjustRightInd w:val="0"/>
        <w:snapToGrid w:val="0"/>
        <w:spacing w:before="0" w:after="0" w:line="360" w:lineRule="auto"/>
        <w:ind w:firstLineChars="200" w:firstLine="600"/>
        <w:jc w:val="both"/>
        <w:rPr>
          <w:rFonts w:ascii="仿宋_GB2312" w:eastAsia="仿宋_GB2312" w:hAnsi="宋体"/>
          <w:color w:val="auto"/>
          <w:sz w:val="30"/>
          <w:szCs w:val="30"/>
        </w:rPr>
      </w:pPr>
      <w:r>
        <w:rPr>
          <w:rFonts w:ascii="仿宋_GB2312" w:eastAsia="仿宋_GB2312" w:hAnsi="宋体" w:hint="eastAsia"/>
          <w:color w:val="auto"/>
          <w:sz w:val="30"/>
          <w:szCs w:val="30"/>
        </w:rPr>
        <w:t>本行与关联方共同出资设立公司，出资额达到需</w:t>
      </w:r>
      <w:r>
        <w:rPr>
          <w:rFonts w:ascii="仿宋_GB2312" w:eastAsia="仿宋_GB2312" w:hAnsi="宋体"/>
          <w:color w:val="auto"/>
          <w:sz w:val="30"/>
          <w:szCs w:val="30"/>
        </w:rPr>
        <w:t>提交股东</w:t>
      </w:r>
      <w:r>
        <w:rPr>
          <w:rFonts w:ascii="仿宋_GB2312" w:eastAsia="仿宋_GB2312" w:hAnsi="宋体" w:hint="eastAsia"/>
          <w:color w:val="auto"/>
          <w:sz w:val="30"/>
          <w:szCs w:val="30"/>
        </w:rPr>
        <w:t>大会</w:t>
      </w:r>
      <w:r>
        <w:rPr>
          <w:rFonts w:ascii="仿宋_GB2312" w:eastAsia="仿宋_GB2312" w:hAnsi="宋体"/>
          <w:color w:val="auto"/>
          <w:sz w:val="30"/>
          <w:szCs w:val="30"/>
        </w:rPr>
        <w:t>审议标准的</w:t>
      </w:r>
      <w:r>
        <w:rPr>
          <w:rFonts w:ascii="仿宋_GB2312" w:eastAsia="仿宋_GB2312" w:hAnsi="宋体" w:hint="eastAsia"/>
          <w:color w:val="auto"/>
          <w:sz w:val="30"/>
          <w:szCs w:val="30"/>
        </w:rPr>
        <w:t>，如果所有出资方均全部以现金出资，且按照出资额比例确定各方在所设立公司的股权比例的，可以申请豁免适用提交股东大会审议。</w:t>
      </w:r>
    </w:p>
    <w:p w:rsidR="005C402C" w:rsidRDefault="005C402C" w:rsidP="005C402C">
      <w:pPr>
        <w:pStyle w:val="ae"/>
        <w:widowControl w:val="0"/>
        <w:tabs>
          <w:tab w:val="left" w:pos="1701"/>
        </w:tabs>
        <w:adjustRightInd w:val="0"/>
        <w:snapToGrid w:val="0"/>
        <w:spacing w:before="0" w:after="0" w:line="360" w:lineRule="auto"/>
        <w:ind w:firstLineChars="200" w:firstLine="600"/>
        <w:jc w:val="both"/>
        <w:rPr>
          <w:rFonts w:ascii="仿宋_GB2312" w:eastAsia="仿宋_GB2312" w:hAnsi="宋体"/>
          <w:color w:val="auto"/>
          <w:sz w:val="30"/>
          <w:szCs w:val="30"/>
        </w:rPr>
      </w:pPr>
      <w:r>
        <w:rPr>
          <w:rFonts w:ascii="仿宋_GB2312" w:eastAsia="仿宋_GB2312" w:hAnsi="宋体" w:hint="eastAsia"/>
          <w:color w:val="auto"/>
          <w:sz w:val="30"/>
          <w:szCs w:val="30"/>
        </w:rPr>
        <w:t>不同口径下关联交易的定义和分类详见附件4。</w:t>
      </w:r>
    </w:p>
    <w:p w:rsidR="005C402C" w:rsidRDefault="005C402C" w:rsidP="005C402C">
      <w:pPr>
        <w:pStyle w:val="ae"/>
        <w:widowControl w:val="0"/>
        <w:tabs>
          <w:tab w:val="left" w:pos="1701"/>
        </w:tabs>
        <w:adjustRightInd w:val="0"/>
        <w:snapToGrid w:val="0"/>
        <w:spacing w:before="0" w:after="0" w:line="360" w:lineRule="auto"/>
        <w:ind w:firstLineChars="200" w:firstLine="602"/>
        <w:jc w:val="both"/>
        <w:rPr>
          <w:rFonts w:ascii="仿宋_GB2312" w:eastAsia="仿宋_GB2312" w:hAnsi="宋体"/>
          <w:color w:val="auto"/>
          <w:sz w:val="30"/>
          <w:szCs w:val="30"/>
        </w:rPr>
      </w:pPr>
      <w:r>
        <w:rPr>
          <w:rFonts w:ascii="仿宋_GB2312" w:eastAsia="仿宋_GB2312" w:hAnsi="宋体" w:hint="eastAsia"/>
          <w:b/>
          <w:color w:val="auto"/>
          <w:sz w:val="30"/>
          <w:szCs w:val="30"/>
        </w:rPr>
        <w:t>第二十三</w:t>
      </w:r>
      <w:r>
        <w:rPr>
          <w:rFonts w:ascii="仿宋_GB2312" w:eastAsia="仿宋_GB2312" w:hAnsi="宋体"/>
          <w:b/>
          <w:color w:val="auto"/>
          <w:sz w:val="30"/>
          <w:szCs w:val="30"/>
        </w:rPr>
        <w:t>条</w:t>
      </w:r>
      <w:r>
        <w:rPr>
          <w:rFonts w:ascii="仿宋_GB2312" w:eastAsia="仿宋_GB2312" w:hAnsi="宋体" w:hint="eastAsia"/>
          <w:color w:val="auto"/>
          <w:sz w:val="30"/>
          <w:szCs w:val="30"/>
        </w:rPr>
        <w:t xml:space="preserve">  本行关联交易定价原则。</w:t>
      </w:r>
    </w:p>
    <w:p w:rsidR="005C402C" w:rsidRDefault="005C402C" w:rsidP="005C402C">
      <w:pPr>
        <w:pStyle w:val="ae"/>
        <w:widowControl w:val="0"/>
        <w:tabs>
          <w:tab w:val="left" w:pos="1701"/>
        </w:tabs>
        <w:adjustRightInd w:val="0"/>
        <w:snapToGrid w:val="0"/>
        <w:spacing w:before="0" w:after="0" w:line="360" w:lineRule="auto"/>
        <w:ind w:firstLineChars="200" w:firstLine="600"/>
        <w:jc w:val="both"/>
        <w:rPr>
          <w:rFonts w:ascii="仿宋_GB2312" w:eastAsia="仿宋_GB2312" w:hAnsi="宋体"/>
          <w:color w:val="auto"/>
          <w:sz w:val="30"/>
          <w:szCs w:val="30"/>
        </w:rPr>
      </w:pPr>
      <w:r>
        <w:rPr>
          <w:rFonts w:ascii="仿宋_GB2312" w:eastAsia="仿宋_GB2312" w:hAnsi="宋体" w:hint="eastAsia"/>
          <w:color w:val="auto"/>
          <w:sz w:val="30"/>
          <w:szCs w:val="30"/>
        </w:rPr>
        <w:t>本行业务范围内的关联交易，应当严格执行本行相关定价</w:t>
      </w:r>
      <w:r>
        <w:rPr>
          <w:rFonts w:ascii="仿宋_GB2312" w:eastAsia="仿宋_GB2312" w:hAnsi="宋体"/>
          <w:color w:val="auto"/>
          <w:sz w:val="30"/>
          <w:szCs w:val="30"/>
        </w:rPr>
        <w:t>规定</w:t>
      </w:r>
      <w:r>
        <w:rPr>
          <w:rFonts w:ascii="仿宋_GB2312" w:eastAsia="仿宋_GB2312" w:hAnsi="宋体" w:hint="eastAsia"/>
          <w:color w:val="auto"/>
          <w:sz w:val="30"/>
          <w:szCs w:val="30"/>
        </w:rPr>
        <w:t>；非本行业务范围内的关联交易，应当参照市场价格定价，并</w:t>
      </w:r>
      <w:r>
        <w:rPr>
          <w:rFonts w:ascii="仿宋_GB2312" w:eastAsia="仿宋_GB2312" w:hAnsi="宋体"/>
          <w:color w:val="auto"/>
          <w:sz w:val="30"/>
          <w:szCs w:val="30"/>
        </w:rPr>
        <w:t>且应当满足：</w:t>
      </w:r>
    </w:p>
    <w:p w:rsidR="005C402C" w:rsidRDefault="005C402C" w:rsidP="005C402C">
      <w:pPr>
        <w:pStyle w:val="ae"/>
        <w:widowControl w:val="0"/>
        <w:tabs>
          <w:tab w:val="left" w:pos="1701"/>
        </w:tabs>
        <w:adjustRightInd w:val="0"/>
        <w:snapToGrid w:val="0"/>
        <w:spacing w:before="0" w:after="0" w:line="360" w:lineRule="auto"/>
        <w:ind w:firstLineChars="200" w:firstLine="600"/>
        <w:jc w:val="both"/>
        <w:rPr>
          <w:rFonts w:ascii="仿宋_GB2312" w:eastAsia="仿宋_GB2312" w:hAnsi="宋体"/>
          <w:color w:val="auto"/>
          <w:sz w:val="30"/>
          <w:szCs w:val="30"/>
        </w:rPr>
      </w:pPr>
      <w:r>
        <w:rPr>
          <w:rFonts w:ascii="仿宋_GB2312" w:eastAsia="仿宋_GB2312" w:hAnsi="宋体" w:hint="eastAsia"/>
          <w:color w:val="auto"/>
          <w:sz w:val="30"/>
          <w:szCs w:val="30"/>
        </w:rPr>
        <w:t>（一）本</w:t>
      </w:r>
      <w:r>
        <w:rPr>
          <w:rFonts w:ascii="仿宋_GB2312" w:eastAsia="仿宋_GB2312" w:hAnsi="宋体"/>
          <w:color w:val="auto"/>
          <w:sz w:val="30"/>
          <w:szCs w:val="30"/>
        </w:rPr>
        <w:t>行关联交易</w:t>
      </w:r>
      <w:r>
        <w:rPr>
          <w:rFonts w:ascii="仿宋_GB2312" w:eastAsia="仿宋_GB2312" w:hAnsi="宋体" w:hint="eastAsia"/>
          <w:color w:val="auto"/>
          <w:sz w:val="30"/>
          <w:szCs w:val="30"/>
        </w:rPr>
        <w:t>必须符合商业原则和“一般商业条款”或更佳条款，以不优于对非关联方同类交易的条件</w:t>
      </w:r>
      <w:r>
        <w:rPr>
          <w:rFonts w:ascii="仿宋_GB2312" w:eastAsia="仿宋_GB2312" w:hAnsi="宋体"/>
          <w:color w:val="auto"/>
          <w:sz w:val="30"/>
          <w:szCs w:val="30"/>
        </w:rPr>
        <w:t>进行定价</w:t>
      </w:r>
      <w:r>
        <w:rPr>
          <w:rFonts w:ascii="仿宋_GB2312" w:eastAsia="仿宋_GB2312" w:hAnsi="宋体" w:hint="eastAsia"/>
          <w:color w:val="auto"/>
          <w:sz w:val="30"/>
          <w:szCs w:val="30"/>
        </w:rPr>
        <w:t>。</w:t>
      </w:r>
    </w:p>
    <w:p w:rsidR="005C402C" w:rsidRDefault="005C402C" w:rsidP="005C402C">
      <w:pPr>
        <w:pStyle w:val="ae"/>
        <w:widowControl w:val="0"/>
        <w:tabs>
          <w:tab w:val="left" w:pos="1701"/>
        </w:tabs>
        <w:adjustRightInd w:val="0"/>
        <w:snapToGrid w:val="0"/>
        <w:spacing w:before="0" w:after="0" w:line="360" w:lineRule="auto"/>
        <w:ind w:firstLineChars="200" w:firstLine="600"/>
        <w:jc w:val="both"/>
        <w:rPr>
          <w:rFonts w:ascii="仿宋_GB2312" w:eastAsia="仿宋_GB2312" w:hAnsi="宋体"/>
          <w:color w:val="auto"/>
          <w:sz w:val="30"/>
          <w:szCs w:val="30"/>
        </w:rPr>
      </w:pPr>
      <w:r>
        <w:rPr>
          <w:rFonts w:ascii="仿宋_GB2312" w:eastAsia="仿宋_GB2312" w:hAnsi="宋体" w:hint="eastAsia"/>
          <w:color w:val="auto"/>
          <w:sz w:val="30"/>
          <w:szCs w:val="30"/>
        </w:rPr>
        <w:t>（二）“一般商业条款”或更佳条款应符合以下要求：有关交易是基于各自独立的利益进行，或所订立的交易条款不逊于本行或附属子公司给予独立第三方或独立第三方给予本行或附属子公司的条款。</w:t>
      </w:r>
    </w:p>
    <w:p w:rsidR="005C402C" w:rsidRDefault="005C402C" w:rsidP="005C402C">
      <w:pPr>
        <w:pStyle w:val="ae"/>
        <w:widowControl w:val="0"/>
        <w:tabs>
          <w:tab w:val="left" w:pos="1701"/>
        </w:tabs>
        <w:adjustRightInd w:val="0"/>
        <w:snapToGrid w:val="0"/>
        <w:spacing w:before="0" w:after="0" w:line="360" w:lineRule="auto"/>
        <w:ind w:firstLineChars="200" w:firstLine="600"/>
        <w:jc w:val="both"/>
        <w:rPr>
          <w:rFonts w:ascii="仿宋_GB2312" w:eastAsia="仿宋_GB2312" w:hAnsi="宋体"/>
          <w:color w:val="auto"/>
          <w:sz w:val="30"/>
          <w:szCs w:val="30"/>
        </w:rPr>
      </w:pPr>
      <w:r>
        <w:rPr>
          <w:rFonts w:ascii="仿宋_GB2312" w:eastAsia="仿宋_GB2312" w:hAnsi="宋体" w:hint="eastAsia"/>
          <w:color w:val="auto"/>
          <w:sz w:val="30"/>
          <w:szCs w:val="30"/>
        </w:rPr>
        <w:t>前台</w:t>
      </w:r>
      <w:r>
        <w:rPr>
          <w:rFonts w:ascii="仿宋_GB2312" w:eastAsia="仿宋_GB2312" w:hAnsi="宋体"/>
          <w:color w:val="auto"/>
          <w:sz w:val="30"/>
          <w:szCs w:val="30"/>
        </w:rPr>
        <w:t>业务部门</w:t>
      </w:r>
      <w:r>
        <w:rPr>
          <w:rFonts w:ascii="仿宋_GB2312" w:eastAsia="仿宋_GB2312" w:hAnsi="宋体" w:hint="eastAsia"/>
          <w:color w:val="auto"/>
          <w:sz w:val="30"/>
          <w:szCs w:val="30"/>
        </w:rPr>
        <w:t>应当确认</w:t>
      </w:r>
      <w:r>
        <w:rPr>
          <w:rFonts w:ascii="仿宋_GB2312" w:eastAsia="仿宋_GB2312" w:hAnsi="宋体"/>
          <w:color w:val="auto"/>
          <w:sz w:val="30"/>
          <w:szCs w:val="30"/>
        </w:rPr>
        <w:t>关联交易定价是否符合商业原则和</w:t>
      </w:r>
      <w:r>
        <w:rPr>
          <w:rFonts w:ascii="仿宋_GB2312" w:eastAsia="仿宋_GB2312" w:hAnsi="宋体"/>
          <w:color w:val="auto"/>
          <w:sz w:val="30"/>
          <w:szCs w:val="30"/>
        </w:rPr>
        <w:t>“</w:t>
      </w:r>
      <w:r>
        <w:rPr>
          <w:rFonts w:ascii="仿宋_GB2312" w:eastAsia="仿宋_GB2312" w:hAnsi="宋体" w:hint="eastAsia"/>
          <w:color w:val="auto"/>
          <w:sz w:val="30"/>
          <w:szCs w:val="30"/>
        </w:rPr>
        <w:t>一般</w:t>
      </w:r>
      <w:r>
        <w:rPr>
          <w:rFonts w:ascii="仿宋_GB2312" w:eastAsia="仿宋_GB2312" w:hAnsi="宋体"/>
          <w:color w:val="auto"/>
          <w:sz w:val="30"/>
          <w:szCs w:val="30"/>
        </w:rPr>
        <w:t>商业</w:t>
      </w:r>
      <w:r>
        <w:rPr>
          <w:rFonts w:ascii="仿宋_GB2312" w:eastAsia="仿宋_GB2312" w:hAnsi="宋体" w:hint="eastAsia"/>
          <w:color w:val="auto"/>
          <w:sz w:val="30"/>
          <w:szCs w:val="30"/>
        </w:rPr>
        <w:t>条款</w:t>
      </w:r>
      <w:r>
        <w:rPr>
          <w:rFonts w:ascii="仿宋_GB2312" w:eastAsia="仿宋_GB2312" w:hAnsi="宋体"/>
          <w:color w:val="auto"/>
          <w:sz w:val="30"/>
          <w:szCs w:val="30"/>
        </w:rPr>
        <w:t>”</w:t>
      </w:r>
      <w:r>
        <w:rPr>
          <w:rFonts w:ascii="仿宋_GB2312" w:eastAsia="仿宋_GB2312" w:hAnsi="宋体" w:hint="eastAsia"/>
          <w:color w:val="auto"/>
          <w:sz w:val="30"/>
          <w:szCs w:val="30"/>
        </w:rPr>
        <w:t>或</w:t>
      </w:r>
      <w:r>
        <w:rPr>
          <w:rFonts w:ascii="仿宋_GB2312" w:eastAsia="仿宋_GB2312" w:hAnsi="宋体"/>
          <w:color w:val="auto"/>
          <w:sz w:val="30"/>
          <w:szCs w:val="30"/>
        </w:rPr>
        <w:t>更</w:t>
      </w:r>
      <w:r>
        <w:rPr>
          <w:rFonts w:ascii="仿宋_GB2312" w:eastAsia="仿宋_GB2312" w:hAnsi="宋体" w:hint="eastAsia"/>
          <w:color w:val="auto"/>
          <w:sz w:val="30"/>
          <w:szCs w:val="30"/>
        </w:rPr>
        <w:t>佳</w:t>
      </w:r>
      <w:r>
        <w:rPr>
          <w:rFonts w:ascii="仿宋_GB2312" w:eastAsia="仿宋_GB2312" w:hAnsi="宋体"/>
          <w:color w:val="auto"/>
          <w:sz w:val="30"/>
          <w:szCs w:val="30"/>
        </w:rPr>
        <w:t>条款</w:t>
      </w:r>
      <w:r>
        <w:rPr>
          <w:rFonts w:ascii="仿宋_GB2312" w:eastAsia="仿宋_GB2312" w:hAnsi="宋体" w:hint="eastAsia"/>
          <w:color w:val="auto"/>
          <w:sz w:val="30"/>
          <w:szCs w:val="30"/>
        </w:rPr>
        <w:t>。</w:t>
      </w:r>
    </w:p>
    <w:p w:rsidR="005C402C" w:rsidRDefault="005C402C" w:rsidP="005C402C">
      <w:pPr>
        <w:pStyle w:val="1"/>
        <w:numPr>
          <w:ilvl w:val="0"/>
          <w:numId w:val="0"/>
        </w:numPr>
        <w:adjustRightInd w:val="0"/>
        <w:snapToGrid w:val="0"/>
        <w:spacing w:after="0" w:line="360" w:lineRule="auto"/>
        <w:jc w:val="center"/>
        <w:rPr>
          <w:rFonts w:ascii="仿宋_GB2312" w:eastAsia="仿宋_GB2312"/>
          <w:sz w:val="30"/>
          <w:szCs w:val="30"/>
          <w:lang w:eastAsia="zh-CN"/>
        </w:rPr>
      </w:pPr>
      <w:r>
        <w:rPr>
          <w:rFonts w:ascii="仿宋_GB2312" w:eastAsia="仿宋_GB2312" w:hint="eastAsia"/>
          <w:sz w:val="30"/>
          <w:szCs w:val="30"/>
          <w:lang w:eastAsia="zh-CN"/>
        </w:rPr>
        <w:lastRenderedPageBreak/>
        <w:t>第五章 关联交易的审查审批</w:t>
      </w:r>
    </w:p>
    <w:p w:rsidR="005C402C" w:rsidRDefault="005C402C" w:rsidP="005C402C">
      <w:pPr>
        <w:pStyle w:val="ae"/>
        <w:widowControl w:val="0"/>
        <w:tabs>
          <w:tab w:val="left" w:pos="2552"/>
          <w:tab w:val="left" w:pos="2807"/>
        </w:tabs>
        <w:adjustRightInd w:val="0"/>
        <w:snapToGrid w:val="0"/>
        <w:spacing w:before="0" w:after="0" w:line="360" w:lineRule="auto"/>
        <w:ind w:firstLineChars="200" w:firstLine="602"/>
        <w:jc w:val="both"/>
        <w:rPr>
          <w:rFonts w:ascii="仿宋_GB2312" w:eastAsia="仿宋_GB2312" w:hAnsi="宋体"/>
          <w:color w:val="auto"/>
          <w:sz w:val="30"/>
          <w:szCs w:val="30"/>
        </w:rPr>
      </w:pPr>
      <w:r>
        <w:rPr>
          <w:rFonts w:ascii="仿宋_GB2312" w:eastAsia="仿宋_GB2312" w:hAnsi="宋体" w:hint="eastAsia"/>
          <w:b/>
          <w:color w:val="auto"/>
          <w:sz w:val="30"/>
          <w:szCs w:val="30"/>
        </w:rPr>
        <w:t>第二十四</w:t>
      </w:r>
      <w:r>
        <w:rPr>
          <w:rFonts w:ascii="仿宋_GB2312" w:eastAsia="仿宋_GB2312" w:hAnsi="宋体"/>
          <w:b/>
          <w:color w:val="auto"/>
          <w:sz w:val="30"/>
          <w:szCs w:val="30"/>
        </w:rPr>
        <w:t>条</w:t>
      </w:r>
      <w:r>
        <w:rPr>
          <w:rFonts w:ascii="仿宋_GB2312" w:eastAsia="仿宋_GB2312" w:hAnsi="宋体" w:hint="eastAsia"/>
          <w:color w:val="auto"/>
          <w:sz w:val="30"/>
          <w:szCs w:val="30"/>
        </w:rPr>
        <w:t xml:space="preserve">  本行</w:t>
      </w:r>
      <w:r>
        <w:rPr>
          <w:rFonts w:ascii="仿宋_GB2312" w:eastAsia="仿宋_GB2312" w:hAnsi="宋体"/>
          <w:color w:val="auto"/>
          <w:sz w:val="30"/>
          <w:szCs w:val="30"/>
        </w:rPr>
        <w:t>对关联交易实行</w:t>
      </w:r>
      <w:r>
        <w:rPr>
          <w:rFonts w:ascii="仿宋_GB2312" w:eastAsia="仿宋_GB2312" w:hAnsi="宋体" w:hint="eastAsia"/>
          <w:color w:val="auto"/>
          <w:sz w:val="30"/>
          <w:szCs w:val="30"/>
        </w:rPr>
        <w:t>统筹</w:t>
      </w:r>
      <w:r>
        <w:rPr>
          <w:rFonts w:ascii="仿宋_GB2312" w:eastAsia="仿宋_GB2312" w:hAnsi="宋体"/>
          <w:color w:val="auto"/>
          <w:sz w:val="30"/>
          <w:szCs w:val="30"/>
        </w:rPr>
        <w:t>申报、分类审查、</w:t>
      </w:r>
      <w:r>
        <w:rPr>
          <w:rFonts w:ascii="仿宋_GB2312" w:eastAsia="仿宋_GB2312" w:hAnsi="宋体" w:hint="eastAsia"/>
          <w:color w:val="auto"/>
          <w:sz w:val="30"/>
          <w:szCs w:val="30"/>
        </w:rPr>
        <w:t>分级</w:t>
      </w:r>
      <w:r>
        <w:rPr>
          <w:rFonts w:ascii="仿宋_GB2312" w:eastAsia="仿宋_GB2312" w:hAnsi="宋体"/>
          <w:color w:val="auto"/>
          <w:sz w:val="30"/>
          <w:szCs w:val="30"/>
        </w:rPr>
        <w:t>审批</w:t>
      </w:r>
      <w:r>
        <w:rPr>
          <w:rFonts w:ascii="仿宋_GB2312" w:eastAsia="仿宋_GB2312" w:hAnsi="宋体" w:hint="eastAsia"/>
          <w:color w:val="auto"/>
          <w:sz w:val="30"/>
          <w:szCs w:val="30"/>
        </w:rPr>
        <w:t>和</w:t>
      </w:r>
      <w:r>
        <w:rPr>
          <w:rFonts w:ascii="仿宋_GB2312" w:eastAsia="仿宋_GB2312" w:hAnsi="宋体"/>
          <w:color w:val="auto"/>
          <w:sz w:val="30"/>
          <w:szCs w:val="30"/>
        </w:rPr>
        <w:t>关联方回避制度。</w:t>
      </w:r>
    </w:p>
    <w:p w:rsidR="005C402C" w:rsidRDefault="005C402C" w:rsidP="005C402C">
      <w:pPr>
        <w:pStyle w:val="ae"/>
        <w:widowControl w:val="0"/>
        <w:tabs>
          <w:tab w:val="left" w:pos="2807"/>
        </w:tabs>
        <w:adjustRightInd w:val="0"/>
        <w:snapToGrid w:val="0"/>
        <w:spacing w:before="0" w:after="0" w:line="360" w:lineRule="auto"/>
        <w:ind w:firstLineChars="200" w:firstLine="634"/>
        <w:jc w:val="both"/>
        <w:rPr>
          <w:rFonts w:ascii="仿宋_GB2312" w:eastAsia="仿宋_GB2312" w:hAnsi="宋体"/>
          <w:color w:val="auto"/>
          <w:spacing w:val="8"/>
          <w:sz w:val="30"/>
          <w:szCs w:val="30"/>
        </w:rPr>
      </w:pPr>
      <w:r>
        <w:rPr>
          <w:rFonts w:ascii="仿宋_GB2312" w:eastAsia="仿宋_GB2312" w:hAnsi="宋体" w:hint="eastAsia"/>
          <w:b/>
          <w:bCs/>
          <w:color w:val="auto"/>
          <w:spacing w:val="8"/>
          <w:sz w:val="30"/>
          <w:szCs w:val="30"/>
        </w:rPr>
        <w:t>第二十五条</w:t>
      </w:r>
      <w:r>
        <w:rPr>
          <w:rFonts w:ascii="仿宋_GB2312" w:eastAsia="仿宋_GB2312" w:hAnsi="宋体" w:hint="eastAsia"/>
          <w:color w:val="auto"/>
          <w:spacing w:val="8"/>
          <w:sz w:val="30"/>
          <w:szCs w:val="30"/>
        </w:rPr>
        <w:t xml:space="preserve"> 本行各类关联交易的审查或审批流程原则上应在该</w:t>
      </w:r>
      <w:r>
        <w:rPr>
          <w:rFonts w:ascii="仿宋_GB2312" w:eastAsia="仿宋_GB2312" w:hAnsi="宋体"/>
          <w:color w:val="auto"/>
          <w:spacing w:val="8"/>
          <w:sz w:val="30"/>
          <w:szCs w:val="30"/>
        </w:rPr>
        <w:t>交易所属</w:t>
      </w:r>
      <w:r>
        <w:rPr>
          <w:rFonts w:ascii="仿宋_GB2312" w:eastAsia="仿宋_GB2312" w:hAnsi="宋体" w:hint="eastAsia"/>
          <w:color w:val="auto"/>
          <w:spacing w:val="8"/>
          <w:sz w:val="30"/>
          <w:szCs w:val="30"/>
        </w:rPr>
        <w:t>业务审批通过后、</w:t>
      </w:r>
      <w:r>
        <w:rPr>
          <w:rFonts w:ascii="仿宋_GB2312" w:eastAsia="仿宋_GB2312" w:hAnsi="宋体"/>
          <w:color w:val="auto"/>
          <w:spacing w:val="8"/>
          <w:sz w:val="30"/>
          <w:szCs w:val="30"/>
        </w:rPr>
        <w:t>批复下发前</w:t>
      </w:r>
      <w:r>
        <w:rPr>
          <w:rFonts w:ascii="仿宋_GB2312" w:eastAsia="仿宋_GB2312" w:hAnsi="宋体" w:hint="eastAsia"/>
          <w:color w:val="auto"/>
          <w:spacing w:val="8"/>
          <w:sz w:val="30"/>
          <w:szCs w:val="30"/>
        </w:rPr>
        <w:t>进行。关联交易审查</w:t>
      </w:r>
      <w:r>
        <w:rPr>
          <w:rFonts w:ascii="仿宋_GB2312" w:eastAsia="仿宋_GB2312" w:hAnsi="宋体"/>
          <w:color w:val="auto"/>
          <w:spacing w:val="8"/>
          <w:sz w:val="30"/>
          <w:szCs w:val="30"/>
        </w:rPr>
        <w:t>或</w:t>
      </w:r>
      <w:r>
        <w:rPr>
          <w:rFonts w:ascii="仿宋_GB2312" w:eastAsia="仿宋_GB2312" w:hAnsi="宋体" w:hint="eastAsia"/>
          <w:color w:val="auto"/>
          <w:spacing w:val="8"/>
          <w:sz w:val="30"/>
          <w:szCs w:val="30"/>
        </w:rPr>
        <w:t>审批通过后，再下发业务审批批复。业务审批按照内部</w:t>
      </w:r>
      <w:r>
        <w:rPr>
          <w:rFonts w:ascii="仿宋_GB2312" w:eastAsia="仿宋_GB2312" w:hAnsi="宋体"/>
          <w:color w:val="auto"/>
          <w:spacing w:val="8"/>
          <w:sz w:val="30"/>
          <w:szCs w:val="30"/>
        </w:rPr>
        <w:t>授权</w:t>
      </w:r>
      <w:r>
        <w:rPr>
          <w:rFonts w:ascii="仿宋_GB2312" w:eastAsia="仿宋_GB2312" w:hAnsi="宋体" w:hint="eastAsia"/>
          <w:color w:val="auto"/>
          <w:spacing w:val="8"/>
          <w:sz w:val="30"/>
          <w:szCs w:val="30"/>
        </w:rPr>
        <w:t>进行</w:t>
      </w:r>
      <w:r>
        <w:rPr>
          <w:rFonts w:ascii="仿宋_GB2312" w:eastAsia="仿宋_GB2312" w:hAnsi="宋体"/>
          <w:color w:val="auto"/>
          <w:spacing w:val="8"/>
          <w:sz w:val="30"/>
          <w:szCs w:val="30"/>
        </w:rPr>
        <w:t>。</w:t>
      </w:r>
    </w:p>
    <w:p w:rsidR="005C402C" w:rsidRDefault="005C402C" w:rsidP="005C402C">
      <w:pPr>
        <w:pStyle w:val="ae"/>
        <w:widowControl w:val="0"/>
        <w:tabs>
          <w:tab w:val="left" w:pos="2807"/>
        </w:tabs>
        <w:adjustRightInd w:val="0"/>
        <w:snapToGrid w:val="0"/>
        <w:spacing w:before="0" w:after="0" w:line="360" w:lineRule="auto"/>
        <w:ind w:firstLine="0"/>
        <w:jc w:val="both"/>
        <w:rPr>
          <w:rFonts w:ascii="仿宋_GB2312" w:eastAsia="仿宋_GB2312" w:hAnsi="宋体"/>
          <w:color w:val="auto"/>
          <w:spacing w:val="8"/>
          <w:sz w:val="30"/>
          <w:szCs w:val="30"/>
        </w:rPr>
      </w:pPr>
      <w:r>
        <w:rPr>
          <w:rFonts w:ascii="仿宋_GB2312" w:eastAsia="仿宋_GB2312" w:hAnsi="宋体" w:hint="eastAsia"/>
          <w:color w:val="auto"/>
          <w:sz w:val="30"/>
          <w:szCs w:val="30"/>
        </w:rPr>
        <w:t xml:space="preserve"> </w:t>
      </w:r>
      <w:r>
        <w:rPr>
          <w:rFonts w:ascii="仿宋_GB2312" w:eastAsia="仿宋_GB2312" w:hAnsi="宋体"/>
          <w:color w:val="auto"/>
          <w:sz w:val="30"/>
          <w:szCs w:val="30"/>
        </w:rPr>
        <w:t xml:space="preserve">   </w:t>
      </w:r>
      <w:r>
        <w:rPr>
          <w:rFonts w:ascii="仿宋_GB2312" w:eastAsia="仿宋_GB2312" w:hAnsi="宋体" w:hint="eastAsia"/>
          <w:b/>
          <w:color w:val="auto"/>
          <w:sz w:val="30"/>
          <w:szCs w:val="30"/>
        </w:rPr>
        <w:t xml:space="preserve">第二十六条  </w:t>
      </w:r>
      <w:r>
        <w:rPr>
          <w:rFonts w:ascii="仿宋_GB2312" w:eastAsia="仿宋_GB2312" w:hAnsi="宋体"/>
          <w:color w:val="auto"/>
          <w:spacing w:val="8"/>
          <w:sz w:val="30"/>
          <w:szCs w:val="30"/>
        </w:rPr>
        <w:t>统筹申报</w:t>
      </w:r>
      <w:r>
        <w:rPr>
          <w:rFonts w:ascii="仿宋_GB2312" w:eastAsia="仿宋_GB2312" w:hAnsi="宋体" w:hint="eastAsia"/>
          <w:color w:val="auto"/>
          <w:spacing w:val="8"/>
          <w:sz w:val="30"/>
          <w:szCs w:val="30"/>
        </w:rPr>
        <w:t>。</w:t>
      </w:r>
    </w:p>
    <w:p w:rsidR="005C402C" w:rsidRDefault="005C402C" w:rsidP="005C402C">
      <w:pPr>
        <w:pStyle w:val="ae"/>
        <w:widowControl w:val="0"/>
        <w:adjustRightInd w:val="0"/>
        <w:snapToGrid w:val="0"/>
        <w:spacing w:before="0" w:after="0" w:line="360" w:lineRule="auto"/>
        <w:ind w:firstLineChars="200" w:firstLine="632"/>
        <w:jc w:val="both"/>
        <w:rPr>
          <w:rFonts w:ascii="仿宋_GB2312" w:eastAsia="仿宋_GB2312" w:hAnsi="宋体"/>
          <w:color w:val="auto"/>
          <w:spacing w:val="8"/>
          <w:sz w:val="30"/>
          <w:szCs w:val="30"/>
        </w:rPr>
      </w:pPr>
      <w:r>
        <w:rPr>
          <w:rFonts w:ascii="仿宋_GB2312" w:eastAsia="仿宋_GB2312" w:hAnsi="宋体" w:hint="eastAsia"/>
          <w:color w:val="auto"/>
          <w:spacing w:val="8"/>
          <w:sz w:val="30"/>
          <w:szCs w:val="30"/>
        </w:rPr>
        <w:t>（一）授信类关联交易（包含类信贷</w:t>
      </w:r>
      <w:r>
        <w:rPr>
          <w:rFonts w:ascii="仿宋_GB2312" w:eastAsia="仿宋_GB2312" w:hAnsi="宋体"/>
          <w:color w:val="auto"/>
          <w:spacing w:val="8"/>
          <w:sz w:val="30"/>
          <w:szCs w:val="30"/>
        </w:rPr>
        <w:t>业务</w:t>
      </w:r>
      <w:r>
        <w:rPr>
          <w:rFonts w:ascii="仿宋_GB2312" w:eastAsia="仿宋_GB2312" w:hAnsi="宋体" w:hint="eastAsia"/>
          <w:color w:val="auto"/>
          <w:spacing w:val="8"/>
          <w:sz w:val="30"/>
          <w:szCs w:val="30"/>
        </w:rPr>
        <w:t>，</w:t>
      </w:r>
      <w:r>
        <w:rPr>
          <w:rFonts w:ascii="仿宋_GB2312" w:eastAsia="仿宋_GB2312" w:hAnsi="宋体"/>
          <w:color w:val="auto"/>
          <w:spacing w:val="8"/>
          <w:sz w:val="30"/>
          <w:szCs w:val="30"/>
        </w:rPr>
        <w:t>下同</w:t>
      </w:r>
      <w:r>
        <w:rPr>
          <w:rFonts w:ascii="仿宋_GB2312" w:eastAsia="仿宋_GB2312" w:hAnsi="宋体" w:hint="eastAsia"/>
          <w:color w:val="auto"/>
          <w:spacing w:val="8"/>
          <w:sz w:val="30"/>
          <w:szCs w:val="30"/>
        </w:rPr>
        <w:t>）原则上均在授信环节发起申报，并以关联方所在集团进行整体授信。集团客户主办机构作为授信申报主体，</w:t>
      </w:r>
      <w:r>
        <w:rPr>
          <w:rFonts w:ascii="仿宋_GB2312" w:eastAsia="仿宋_GB2312" w:hAnsi="宋体"/>
          <w:color w:val="auto"/>
          <w:spacing w:val="8"/>
          <w:sz w:val="30"/>
          <w:szCs w:val="30"/>
        </w:rPr>
        <w:t>具体参照</w:t>
      </w:r>
      <w:r>
        <w:rPr>
          <w:rFonts w:ascii="仿宋_GB2312" w:eastAsia="仿宋_GB2312" w:hAnsi="宋体" w:hint="eastAsia"/>
          <w:color w:val="auto"/>
          <w:spacing w:val="8"/>
          <w:sz w:val="30"/>
          <w:szCs w:val="30"/>
        </w:rPr>
        <w:t>本行授信</w:t>
      </w:r>
      <w:r>
        <w:rPr>
          <w:rFonts w:ascii="仿宋_GB2312" w:eastAsia="仿宋_GB2312" w:hAnsi="宋体"/>
          <w:color w:val="auto"/>
          <w:spacing w:val="8"/>
          <w:sz w:val="30"/>
          <w:szCs w:val="30"/>
        </w:rPr>
        <w:t>及集团客户管理相关规定</w:t>
      </w:r>
      <w:r>
        <w:rPr>
          <w:rFonts w:ascii="仿宋_GB2312" w:eastAsia="仿宋_GB2312" w:hAnsi="宋体" w:hint="eastAsia"/>
          <w:color w:val="auto"/>
          <w:spacing w:val="8"/>
          <w:sz w:val="30"/>
          <w:szCs w:val="30"/>
        </w:rPr>
        <w:t>执行</w:t>
      </w:r>
      <w:r>
        <w:rPr>
          <w:rFonts w:ascii="仿宋_GB2312" w:eastAsia="仿宋_GB2312" w:hAnsi="宋体"/>
          <w:color w:val="auto"/>
          <w:spacing w:val="8"/>
          <w:sz w:val="30"/>
          <w:szCs w:val="30"/>
        </w:rPr>
        <w:t>。</w:t>
      </w:r>
    </w:p>
    <w:p w:rsidR="005C402C" w:rsidRDefault="005C402C" w:rsidP="005C402C">
      <w:pPr>
        <w:pStyle w:val="ae"/>
        <w:widowControl w:val="0"/>
        <w:adjustRightInd w:val="0"/>
        <w:snapToGrid w:val="0"/>
        <w:spacing w:before="0" w:after="0" w:line="360" w:lineRule="auto"/>
        <w:ind w:firstLineChars="200" w:firstLine="632"/>
        <w:jc w:val="both"/>
        <w:rPr>
          <w:rFonts w:ascii="仿宋_GB2312" w:eastAsia="仿宋_GB2312" w:hAnsi="宋体"/>
          <w:color w:val="auto"/>
          <w:spacing w:val="8"/>
          <w:sz w:val="30"/>
          <w:szCs w:val="30"/>
        </w:rPr>
      </w:pPr>
      <w:r>
        <w:rPr>
          <w:rFonts w:ascii="仿宋_GB2312" w:eastAsia="仿宋_GB2312" w:hAnsi="宋体" w:hint="eastAsia"/>
          <w:color w:val="auto"/>
          <w:spacing w:val="8"/>
          <w:sz w:val="30"/>
          <w:szCs w:val="30"/>
        </w:rPr>
        <w:t>达到应提交股东大会审议标准的关联交易，拟提交</w:t>
      </w:r>
      <w:r>
        <w:rPr>
          <w:rFonts w:ascii="仿宋_GB2312" w:eastAsia="仿宋_GB2312" w:hAnsi="宋体"/>
          <w:color w:val="auto"/>
          <w:spacing w:val="8"/>
          <w:sz w:val="30"/>
          <w:szCs w:val="30"/>
        </w:rPr>
        <w:t>年</w:t>
      </w:r>
      <w:r>
        <w:rPr>
          <w:rFonts w:ascii="仿宋_GB2312" w:eastAsia="仿宋_GB2312" w:hAnsi="宋体" w:hint="eastAsia"/>
          <w:color w:val="auto"/>
          <w:spacing w:val="8"/>
          <w:sz w:val="30"/>
          <w:szCs w:val="30"/>
        </w:rPr>
        <w:t>度</w:t>
      </w:r>
      <w:r>
        <w:rPr>
          <w:rFonts w:ascii="仿宋_GB2312" w:eastAsia="仿宋_GB2312" w:hAnsi="宋体"/>
          <w:color w:val="auto"/>
          <w:spacing w:val="8"/>
          <w:sz w:val="30"/>
          <w:szCs w:val="30"/>
        </w:rPr>
        <w:t>股东</w:t>
      </w:r>
      <w:r>
        <w:rPr>
          <w:rFonts w:ascii="仿宋_GB2312" w:eastAsia="仿宋_GB2312" w:hAnsi="宋体" w:hint="eastAsia"/>
          <w:color w:val="auto"/>
          <w:spacing w:val="8"/>
          <w:sz w:val="30"/>
          <w:szCs w:val="30"/>
        </w:rPr>
        <w:t>大会</w:t>
      </w:r>
      <w:r>
        <w:rPr>
          <w:rFonts w:ascii="仿宋_GB2312" w:eastAsia="仿宋_GB2312" w:hAnsi="宋体"/>
          <w:color w:val="auto"/>
          <w:spacing w:val="8"/>
          <w:sz w:val="30"/>
          <w:szCs w:val="30"/>
        </w:rPr>
        <w:t>审议的，原则上</w:t>
      </w:r>
      <w:r>
        <w:rPr>
          <w:rFonts w:ascii="仿宋_GB2312" w:eastAsia="仿宋_GB2312" w:hAnsi="宋体" w:hint="eastAsia"/>
          <w:color w:val="auto"/>
          <w:spacing w:val="8"/>
          <w:sz w:val="30"/>
          <w:szCs w:val="30"/>
        </w:rPr>
        <w:t>应</w:t>
      </w:r>
      <w:r>
        <w:rPr>
          <w:rFonts w:ascii="仿宋_GB2312" w:eastAsia="仿宋_GB2312" w:hAnsi="宋体"/>
          <w:color w:val="auto"/>
          <w:spacing w:val="8"/>
          <w:sz w:val="30"/>
          <w:szCs w:val="30"/>
        </w:rPr>
        <w:t>不迟于每年</w:t>
      </w:r>
      <w:r>
        <w:rPr>
          <w:rFonts w:ascii="仿宋_GB2312" w:eastAsia="仿宋_GB2312" w:hAnsi="宋体" w:hint="eastAsia"/>
          <w:color w:val="auto"/>
          <w:spacing w:val="8"/>
          <w:sz w:val="30"/>
          <w:szCs w:val="30"/>
        </w:rPr>
        <w:t>2月</w:t>
      </w:r>
      <w:r>
        <w:rPr>
          <w:rFonts w:ascii="仿宋_GB2312" w:eastAsia="仿宋_GB2312" w:hAnsi="宋体"/>
          <w:color w:val="auto"/>
          <w:spacing w:val="8"/>
          <w:sz w:val="30"/>
          <w:szCs w:val="30"/>
        </w:rPr>
        <w:t>底</w:t>
      </w:r>
      <w:r>
        <w:rPr>
          <w:rFonts w:ascii="仿宋_GB2312" w:eastAsia="仿宋_GB2312" w:hAnsi="宋体" w:hint="eastAsia"/>
          <w:color w:val="auto"/>
          <w:spacing w:val="8"/>
          <w:sz w:val="30"/>
          <w:szCs w:val="30"/>
        </w:rPr>
        <w:t>前</w:t>
      </w:r>
      <w:r>
        <w:rPr>
          <w:rFonts w:ascii="仿宋_GB2312" w:eastAsia="仿宋_GB2312" w:hAnsi="宋体"/>
          <w:color w:val="auto"/>
          <w:spacing w:val="8"/>
          <w:sz w:val="30"/>
          <w:szCs w:val="30"/>
        </w:rPr>
        <w:t>发起统筹授信申报；</w:t>
      </w:r>
      <w:r>
        <w:rPr>
          <w:rFonts w:ascii="仿宋_GB2312" w:eastAsia="仿宋_GB2312" w:hAnsi="宋体" w:hint="eastAsia"/>
          <w:color w:val="auto"/>
          <w:spacing w:val="8"/>
          <w:sz w:val="30"/>
          <w:szCs w:val="30"/>
        </w:rPr>
        <w:t>确需</w:t>
      </w:r>
      <w:r>
        <w:rPr>
          <w:rFonts w:ascii="仿宋_GB2312" w:eastAsia="仿宋_GB2312" w:hAnsi="宋体"/>
          <w:color w:val="auto"/>
          <w:spacing w:val="8"/>
          <w:sz w:val="30"/>
          <w:szCs w:val="30"/>
        </w:rPr>
        <w:t>提交临时股东大会审议的，</w:t>
      </w:r>
      <w:r>
        <w:rPr>
          <w:rFonts w:ascii="仿宋_GB2312" w:eastAsia="仿宋_GB2312" w:hAnsi="宋体" w:hint="eastAsia"/>
          <w:color w:val="auto"/>
          <w:spacing w:val="8"/>
          <w:sz w:val="30"/>
          <w:szCs w:val="30"/>
        </w:rPr>
        <w:t>应</w:t>
      </w:r>
      <w:r>
        <w:rPr>
          <w:rFonts w:ascii="仿宋_GB2312" w:eastAsia="仿宋_GB2312" w:hAnsi="宋体"/>
          <w:color w:val="auto"/>
          <w:spacing w:val="8"/>
          <w:sz w:val="30"/>
          <w:szCs w:val="30"/>
        </w:rPr>
        <w:t>至少提前</w:t>
      </w:r>
      <w:r>
        <w:rPr>
          <w:rFonts w:ascii="仿宋_GB2312" w:eastAsia="仿宋_GB2312" w:hAnsi="宋体" w:hint="eastAsia"/>
          <w:color w:val="auto"/>
          <w:spacing w:val="8"/>
          <w:sz w:val="30"/>
          <w:szCs w:val="30"/>
        </w:rPr>
        <w:t>3个月</w:t>
      </w:r>
      <w:r>
        <w:rPr>
          <w:rFonts w:ascii="仿宋_GB2312" w:eastAsia="仿宋_GB2312" w:hAnsi="宋体"/>
          <w:color w:val="auto"/>
          <w:spacing w:val="8"/>
          <w:sz w:val="30"/>
          <w:szCs w:val="30"/>
        </w:rPr>
        <w:t>发起</w:t>
      </w:r>
      <w:r>
        <w:rPr>
          <w:rFonts w:ascii="仿宋_GB2312" w:eastAsia="仿宋_GB2312" w:hAnsi="宋体" w:hint="eastAsia"/>
          <w:color w:val="auto"/>
          <w:spacing w:val="8"/>
          <w:sz w:val="30"/>
          <w:szCs w:val="30"/>
        </w:rPr>
        <w:t>统筹</w:t>
      </w:r>
      <w:r>
        <w:rPr>
          <w:rFonts w:ascii="仿宋_GB2312" w:eastAsia="仿宋_GB2312" w:hAnsi="宋体"/>
          <w:color w:val="auto"/>
          <w:spacing w:val="8"/>
          <w:sz w:val="30"/>
          <w:szCs w:val="30"/>
        </w:rPr>
        <w:t>授信申报。</w:t>
      </w:r>
    </w:p>
    <w:p w:rsidR="005C402C" w:rsidRDefault="005C402C" w:rsidP="005C402C">
      <w:pPr>
        <w:pStyle w:val="ae"/>
        <w:widowControl w:val="0"/>
        <w:tabs>
          <w:tab w:val="left" w:pos="2807"/>
        </w:tabs>
        <w:adjustRightInd w:val="0"/>
        <w:snapToGrid w:val="0"/>
        <w:spacing w:before="0" w:after="0" w:line="360" w:lineRule="auto"/>
        <w:ind w:firstLineChars="200" w:firstLine="632"/>
        <w:jc w:val="both"/>
        <w:rPr>
          <w:rFonts w:ascii="仿宋_GB2312" w:eastAsia="仿宋_GB2312" w:hAnsi="宋体"/>
          <w:color w:val="auto"/>
          <w:spacing w:val="8"/>
          <w:sz w:val="30"/>
          <w:szCs w:val="30"/>
        </w:rPr>
      </w:pPr>
      <w:r>
        <w:rPr>
          <w:rFonts w:ascii="仿宋_GB2312" w:eastAsia="仿宋_GB2312" w:hAnsi="宋体" w:hint="eastAsia"/>
          <w:color w:val="auto"/>
          <w:spacing w:val="8"/>
          <w:sz w:val="30"/>
          <w:szCs w:val="30"/>
        </w:rPr>
        <w:t>授信批复后，不涉及本行对</w:t>
      </w:r>
      <w:r>
        <w:rPr>
          <w:rFonts w:ascii="仿宋_GB2312" w:eastAsia="仿宋_GB2312" w:hAnsi="宋体"/>
          <w:color w:val="auto"/>
          <w:spacing w:val="8"/>
          <w:sz w:val="30"/>
          <w:szCs w:val="30"/>
        </w:rPr>
        <w:t>交易对手作出</w:t>
      </w:r>
      <w:r>
        <w:rPr>
          <w:rFonts w:ascii="仿宋_GB2312" w:eastAsia="仿宋_GB2312" w:hAnsi="宋体" w:hint="eastAsia"/>
          <w:color w:val="auto"/>
          <w:spacing w:val="8"/>
          <w:sz w:val="30"/>
          <w:szCs w:val="30"/>
        </w:rPr>
        <w:t>减让的支用无需单独进行关联交易申报。后续支用拟对</w:t>
      </w:r>
      <w:r>
        <w:rPr>
          <w:rFonts w:ascii="仿宋_GB2312" w:eastAsia="仿宋_GB2312" w:hAnsi="宋体"/>
          <w:color w:val="auto"/>
          <w:spacing w:val="8"/>
          <w:sz w:val="30"/>
          <w:szCs w:val="30"/>
        </w:rPr>
        <w:t>交易对手作出</w:t>
      </w:r>
      <w:r>
        <w:rPr>
          <w:rFonts w:ascii="仿宋_GB2312" w:eastAsia="仿宋_GB2312" w:hAnsi="宋体" w:hint="eastAsia"/>
          <w:color w:val="auto"/>
          <w:spacing w:val="8"/>
          <w:sz w:val="30"/>
          <w:szCs w:val="30"/>
        </w:rPr>
        <w:t>减让的，由经营机构按照本行授信相关规定，向有权审批机构申报授信方案变更并提交关联交易审查审批。授信审批部负责对支用条件是否涉及本行对交易对手作出减让进行审核。</w:t>
      </w:r>
    </w:p>
    <w:p w:rsidR="005C402C" w:rsidRDefault="005C402C" w:rsidP="005C402C">
      <w:pPr>
        <w:pStyle w:val="ae"/>
        <w:widowControl w:val="0"/>
        <w:tabs>
          <w:tab w:val="left" w:pos="2807"/>
        </w:tabs>
        <w:adjustRightInd w:val="0"/>
        <w:snapToGrid w:val="0"/>
        <w:spacing w:before="0" w:after="0" w:line="360" w:lineRule="auto"/>
        <w:ind w:firstLineChars="200" w:firstLine="632"/>
        <w:jc w:val="both"/>
        <w:rPr>
          <w:rFonts w:ascii="仿宋_GB2312" w:eastAsia="仿宋_GB2312" w:hAnsi="宋体"/>
          <w:color w:val="auto"/>
          <w:spacing w:val="8"/>
          <w:sz w:val="30"/>
          <w:szCs w:val="30"/>
        </w:rPr>
      </w:pPr>
      <w:r>
        <w:rPr>
          <w:rFonts w:ascii="仿宋_GB2312" w:eastAsia="仿宋_GB2312" w:hAnsi="宋体" w:hint="eastAsia"/>
          <w:color w:val="auto"/>
          <w:spacing w:val="8"/>
          <w:sz w:val="30"/>
          <w:szCs w:val="30"/>
        </w:rPr>
        <w:t>（二）非</w:t>
      </w:r>
      <w:r>
        <w:rPr>
          <w:rFonts w:ascii="仿宋_GB2312" w:eastAsia="仿宋_GB2312" w:hAnsi="宋体"/>
          <w:color w:val="auto"/>
          <w:spacing w:val="8"/>
          <w:sz w:val="30"/>
          <w:szCs w:val="30"/>
        </w:rPr>
        <w:t>授信类</w:t>
      </w:r>
      <w:r>
        <w:rPr>
          <w:rFonts w:ascii="仿宋_GB2312" w:eastAsia="仿宋_GB2312" w:hAnsi="宋体" w:hint="eastAsia"/>
          <w:color w:val="auto"/>
          <w:spacing w:val="8"/>
          <w:sz w:val="30"/>
          <w:szCs w:val="30"/>
        </w:rPr>
        <w:t>关联</w:t>
      </w:r>
      <w:r>
        <w:rPr>
          <w:rFonts w:ascii="仿宋_GB2312" w:eastAsia="仿宋_GB2312" w:hAnsi="宋体"/>
          <w:color w:val="auto"/>
          <w:spacing w:val="8"/>
          <w:sz w:val="30"/>
          <w:szCs w:val="30"/>
        </w:rPr>
        <w:t>交易</w:t>
      </w:r>
      <w:r>
        <w:rPr>
          <w:rFonts w:ascii="仿宋_GB2312" w:eastAsia="仿宋_GB2312" w:hAnsi="宋体" w:hint="eastAsia"/>
          <w:color w:val="auto"/>
          <w:spacing w:val="8"/>
          <w:sz w:val="30"/>
          <w:szCs w:val="30"/>
        </w:rPr>
        <w:t>根据</w:t>
      </w:r>
      <w:r>
        <w:rPr>
          <w:rFonts w:ascii="仿宋_GB2312" w:eastAsia="仿宋_GB2312" w:hAnsi="宋体"/>
          <w:color w:val="auto"/>
          <w:spacing w:val="8"/>
          <w:sz w:val="30"/>
          <w:szCs w:val="30"/>
        </w:rPr>
        <w:t>实际情况</w:t>
      </w:r>
      <w:r>
        <w:rPr>
          <w:rFonts w:ascii="仿宋_GB2312" w:eastAsia="仿宋_GB2312" w:hAnsi="宋体" w:hint="eastAsia"/>
          <w:color w:val="auto"/>
          <w:spacing w:val="8"/>
          <w:sz w:val="30"/>
          <w:szCs w:val="30"/>
        </w:rPr>
        <w:t>采取</w:t>
      </w:r>
      <w:r>
        <w:rPr>
          <w:rFonts w:ascii="仿宋_GB2312" w:eastAsia="仿宋_GB2312" w:hAnsi="宋体"/>
          <w:color w:val="auto"/>
          <w:spacing w:val="8"/>
          <w:sz w:val="30"/>
          <w:szCs w:val="30"/>
        </w:rPr>
        <w:t>统筹申报或单笔申报。</w:t>
      </w:r>
    </w:p>
    <w:p w:rsidR="005C402C" w:rsidRDefault="005C402C" w:rsidP="005C402C">
      <w:pPr>
        <w:adjustRightInd w:val="0"/>
        <w:snapToGrid w:val="0"/>
        <w:spacing w:line="360" w:lineRule="auto"/>
        <w:ind w:firstLineChars="229" w:firstLine="690"/>
        <w:rPr>
          <w:rFonts w:ascii="仿宋_GB2312" w:eastAsia="仿宋_GB2312" w:hAnsi="宋体"/>
          <w:sz w:val="30"/>
          <w:szCs w:val="30"/>
        </w:rPr>
      </w:pPr>
      <w:r>
        <w:rPr>
          <w:rFonts w:ascii="仿宋_GB2312" w:eastAsia="仿宋_GB2312" w:hAnsi="宋体" w:hint="eastAsia"/>
          <w:b/>
          <w:sz w:val="30"/>
          <w:szCs w:val="30"/>
        </w:rPr>
        <w:t>第二十七</w:t>
      </w:r>
      <w:r>
        <w:rPr>
          <w:rFonts w:ascii="仿宋_GB2312" w:eastAsia="仿宋_GB2312" w:hAnsi="宋体"/>
          <w:b/>
          <w:sz w:val="30"/>
          <w:szCs w:val="30"/>
        </w:rPr>
        <w:t>条</w:t>
      </w:r>
      <w:r>
        <w:rPr>
          <w:rFonts w:ascii="仿宋_GB2312" w:eastAsia="仿宋_GB2312" w:hAnsi="宋体" w:hint="eastAsia"/>
          <w:b/>
          <w:sz w:val="30"/>
          <w:szCs w:val="30"/>
        </w:rPr>
        <w:t xml:space="preserve">  </w:t>
      </w:r>
      <w:r>
        <w:rPr>
          <w:rFonts w:ascii="仿宋_GB2312" w:eastAsia="仿宋_GB2312" w:hAnsi="宋体" w:hint="eastAsia"/>
          <w:sz w:val="30"/>
          <w:szCs w:val="30"/>
        </w:rPr>
        <w:t>申报</w:t>
      </w:r>
      <w:r>
        <w:rPr>
          <w:rFonts w:ascii="仿宋_GB2312" w:eastAsia="仿宋_GB2312" w:hAnsi="宋体"/>
          <w:sz w:val="30"/>
          <w:szCs w:val="30"/>
        </w:rPr>
        <w:t>材料。</w:t>
      </w:r>
      <w:r>
        <w:rPr>
          <w:rFonts w:ascii="仿宋_GB2312" w:eastAsia="仿宋_GB2312" w:hAnsi="宋体" w:hint="eastAsia"/>
          <w:sz w:val="30"/>
          <w:szCs w:val="30"/>
        </w:rPr>
        <w:t>关联交易</w:t>
      </w:r>
      <w:r>
        <w:rPr>
          <w:rFonts w:ascii="仿宋_GB2312" w:eastAsia="仿宋_GB2312" w:hAnsi="宋体"/>
          <w:sz w:val="30"/>
          <w:szCs w:val="30"/>
        </w:rPr>
        <w:t>发起部门应报送以下</w:t>
      </w:r>
      <w:r>
        <w:rPr>
          <w:rFonts w:ascii="仿宋_GB2312" w:eastAsia="仿宋_GB2312" w:hAnsi="宋体" w:hint="eastAsia"/>
          <w:sz w:val="30"/>
          <w:szCs w:val="30"/>
        </w:rPr>
        <w:t>材</w:t>
      </w:r>
      <w:r>
        <w:rPr>
          <w:rFonts w:ascii="仿宋_GB2312" w:eastAsia="仿宋_GB2312" w:hAnsi="宋体" w:hint="eastAsia"/>
          <w:sz w:val="30"/>
          <w:szCs w:val="30"/>
        </w:rPr>
        <w:lastRenderedPageBreak/>
        <w:t>料</w:t>
      </w:r>
      <w:r>
        <w:rPr>
          <w:rFonts w:ascii="仿宋_GB2312" w:eastAsia="仿宋_GB2312" w:hAnsi="宋体"/>
          <w:sz w:val="30"/>
          <w:szCs w:val="30"/>
        </w:rPr>
        <w:t>：</w:t>
      </w:r>
    </w:p>
    <w:p w:rsidR="005C402C" w:rsidRDefault="005C402C" w:rsidP="005C402C">
      <w:pPr>
        <w:adjustRightInd w:val="0"/>
        <w:snapToGrid w:val="0"/>
        <w:spacing w:line="360" w:lineRule="auto"/>
        <w:ind w:firstLineChars="229" w:firstLine="687"/>
        <w:rPr>
          <w:rFonts w:ascii="仿宋_GB2312" w:eastAsia="仿宋_GB2312" w:hAnsi="宋体"/>
          <w:sz w:val="30"/>
          <w:szCs w:val="30"/>
        </w:rPr>
      </w:pPr>
      <w:r>
        <w:rPr>
          <w:rFonts w:ascii="仿宋_GB2312" w:eastAsia="仿宋_GB2312" w:hAnsi="宋体" w:hint="eastAsia"/>
          <w:sz w:val="30"/>
          <w:szCs w:val="30"/>
        </w:rPr>
        <w:t>（一）</w:t>
      </w:r>
      <w:r>
        <w:rPr>
          <w:rFonts w:ascii="仿宋_GB2312" w:eastAsia="仿宋_GB2312" w:hAnsi="宋体"/>
          <w:sz w:val="30"/>
          <w:szCs w:val="30"/>
        </w:rPr>
        <w:t>《关联交易审</w:t>
      </w:r>
      <w:r>
        <w:rPr>
          <w:rFonts w:ascii="仿宋_GB2312" w:eastAsia="仿宋_GB2312" w:hAnsi="宋体" w:hint="eastAsia"/>
          <w:sz w:val="30"/>
          <w:szCs w:val="30"/>
        </w:rPr>
        <w:t>查</w:t>
      </w:r>
      <w:r>
        <w:rPr>
          <w:rFonts w:ascii="仿宋_GB2312" w:eastAsia="仿宋_GB2312" w:hAnsi="宋体"/>
          <w:sz w:val="30"/>
          <w:szCs w:val="30"/>
        </w:rPr>
        <w:t>申请表》</w:t>
      </w:r>
      <w:r>
        <w:rPr>
          <w:rFonts w:ascii="仿宋_GB2312" w:eastAsia="仿宋_GB2312" w:hAnsi="宋体" w:hint="eastAsia"/>
          <w:sz w:val="30"/>
          <w:szCs w:val="30"/>
        </w:rPr>
        <w:t>（附件</w:t>
      </w:r>
      <w:r>
        <w:rPr>
          <w:rFonts w:ascii="仿宋_GB2312" w:eastAsia="仿宋_GB2312" w:hAnsi="宋体"/>
          <w:sz w:val="30"/>
          <w:szCs w:val="30"/>
        </w:rPr>
        <w:t>6</w:t>
      </w:r>
      <w:r>
        <w:rPr>
          <w:rFonts w:ascii="仿宋_GB2312" w:eastAsia="仿宋_GB2312" w:hAnsi="宋体" w:hint="eastAsia"/>
          <w:sz w:val="30"/>
          <w:szCs w:val="30"/>
        </w:rPr>
        <w:t>）；</w:t>
      </w:r>
    </w:p>
    <w:p w:rsidR="005C402C" w:rsidRDefault="005C402C" w:rsidP="005C402C">
      <w:pPr>
        <w:adjustRightInd w:val="0"/>
        <w:snapToGrid w:val="0"/>
        <w:spacing w:line="360" w:lineRule="auto"/>
        <w:ind w:firstLineChars="229" w:firstLine="687"/>
        <w:rPr>
          <w:rFonts w:ascii="仿宋_GB2312" w:eastAsia="仿宋_GB2312" w:hAnsi="宋体"/>
          <w:sz w:val="30"/>
          <w:szCs w:val="30"/>
        </w:rPr>
      </w:pPr>
      <w:r>
        <w:rPr>
          <w:rFonts w:ascii="仿宋_GB2312" w:eastAsia="仿宋_GB2312" w:hAnsi="宋体" w:hint="eastAsia"/>
          <w:sz w:val="30"/>
          <w:szCs w:val="30"/>
        </w:rPr>
        <w:t>（二）关联交易报告，</w:t>
      </w:r>
      <w:r>
        <w:rPr>
          <w:rFonts w:ascii="仿宋_GB2312" w:eastAsia="仿宋_GB2312" w:hAnsi="宋体"/>
          <w:sz w:val="30"/>
          <w:szCs w:val="30"/>
        </w:rPr>
        <w:t>包括</w:t>
      </w:r>
      <w:r>
        <w:rPr>
          <w:rFonts w:ascii="仿宋_GB2312" w:eastAsia="仿宋_GB2312" w:hAnsi="宋体" w:hint="eastAsia"/>
          <w:sz w:val="30"/>
          <w:szCs w:val="30"/>
        </w:rPr>
        <w:t>但不限于</w:t>
      </w:r>
      <w:r>
        <w:rPr>
          <w:rFonts w:ascii="仿宋_GB2312" w:eastAsia="仿宋_GB2312" w:hAnsi="宋体"/>
          <w:sz w:val="30"/>
          <w:szCs w:val="30"/>
        </w:rPr>
        <w:t>以下内容：</w:t>
      </w:r>
    </w:p>
    <w:p w:rsidR="005C402C" w:rsidRDefault="005C402C" w:rsidP="005C402C">
      <w:pPr>
        <w:pStyle w:val="ae"/>
        <w:widowControl w:val="0"/>
        <w:adjustRightInd w:val="0"/>
        <w:snapToGrid w:val="0"/>
        <w:spacing w:before="0" w:after="0" w:line="360" w:lineRule="auto"/>
        <w:ind w:firstLineChars="200" w:firstLine="600"/>
        <w:jc w:val="both"/>
        <w:rPr>
          <w:rFonts w:ascii="仿宋_GB2312" w:eastAsia="仿宋_GB2312" w:hAnsi="宋体"/>
          <w:color w:val="auto"/>
          <w:sz w:val="30"/>
          <w:szCs w:val="30"/>
        </w:rPr>
      </w:pPr>
      <w:r>
        <w:rPr>
          <w:rFonts w:ascii="仿宋_GB2312" w:eastAsia="仿宋_GB2312" w:hAnsi="宋体"/>
          <w:color w:val="auto"/>
          <w:sz w:val="30"/>
          <w:szCs w:val="30"/>
        </w:rPr>
        <w:t>1.关联方基本情况。包括但不限于关联自然人</w:t>
      </w:r>
      <w:r>
        <w:rPr>
          <w:rFonts w:ascii="仿宋_GB2312" w:eastAsia="仿宋_GB2312" w:hAnsi="宋体" w:hint="eastAsia"/>
          <w:color w:val="auto"/>
          <w:sz w:val="30"/>
          <w:szCs w:val="30"/>
        </w:rPr>
        <w:t>基本</w:t>
      </w:r>
      <w:r>
        <w:rPr>
          <w:rFonts w:ascii="仿宋_GB2312" w:eastAsia="仿宋_GB2312" w:hAnsi="宋体"/>
          <w:color w:val="auto"/>
          <w:sz w:val="30"/>
          <w:szCs w:val="30"/>
        </w:rPr>
        <w:t>身份</w:t>
      </w:r>
      <w:r>
        <w:rPr>
          <w:rFonts w:ascii="仿宋_GB2312" w:eastAsia="仿宋_GB2312" w:hAnsi="宋体" w:hint="eastAsia"/>
          <w:color w:val="auto"/>
          <w:sz w:val="30"/>
          <w:szCs w:val="30"/>
        </w:rPr>
        <w:t>信息，</w:t>
      </w:r>
      <w:r>
        <w:rPr>
          <w:rFonts w:ascii="仿宋_GB2312" w:eastAsia="仿宋_GB2312" w:hAnsi="宋体"/>
          <w:color w:val="auto"/>
          <w:sz w:val="30"/>
          <w:szCs w:val="30"/>
        </w:rPr>
        <w:t>关联法人或其他组织的名称、经济性质或类型、主营业务、法定代表人、注册地、注册资本</w:t>
      </w:r>
      <w:r>
        <w:rPr>
          <w:rFonts w:ascii="仿宋_GB2312" w:eastAsia="仿宋_GB2312" w:hAnsi="宋体" w:hint="eastAsia"/>
          <w:color w:val="auto"/>
          <w:sz w:val="30"/>
          <w:szCs w:val="30"/>
        </w:rPr>
        <w:t>、</w:t>
      </w:r>
      <w:r>
        <w:rPr>
          <w:rFonts w:ascii="仿宋_GB2312" w:eastAsia="仿宋_GB2312" w:hAnsi="宋体"/>
          <w:color w:val="auto"/>
          <w:sz w:val="30"/>
          <w:szCs w:val="30"/>
        </w:rPr>
        <w:t>股权结构</w:t>
      </w:r>
      <w:r>
        <w:rPr>
          <w:rFonts w:ascii="仿宋_GB2312" w:eastAsia="仿宋_GB2312" w:hAnsi="宋体" w:hint="eastAsia"/>
          <w:color w:val="auto"/>
          <w:sz w:val="30"/>
          <w:szCs w:val="30"/>
        </w:rPr>
        <w:t>等，以及关联</w:t>
      </w:r>
      <w:r>
        <w:rPr>
          <w:rFonts w:ascii="仿宋_GB2312" w:eastAsia="仿宋_GB2312" w:hAnsi="宋体"/>
          <w:color w:val="auto"/>
          <w:sz w:val="30"/>
          <w:szCs w:val="30"/>
        </w:rPr>
        <w:t>方与本行的关联关系等</w:t>
      </w:r>
      <w:r>
        <w:rPr>
          <w:rFonts w:ascii="仿宋_GB2312" w:eastAsia="仿宋_GB2312" w:hAnsi="宋体" w:hint="eastAsia"/>
          <w:color w:val="auto"/>
          <w:sz w:val="30"/>
          <w:szCs w:val="30"/>
        </w:rPr>
        <w:t>；</w:t>
      </w:r>
    </w:p>
    <w:p w:rsidR="005C402C" w:rsidRDefault="005C402C" w:rsidP="005C402C">
      <w:pPr>
        <w:pStyle w:val="ae"/>
        <w:widowControl w:val="0"/>
        <w:adjustRightInd w:val="0"/>
        <w:snapToGrid w:val="0"/>
        <w:spacing w:before="0" w:after="0" w:line="360" w:lineRule="auto"/>
        <w:ind w:firstLineChars="200" w:firstLine="600"/>
        <w:jc w:val="both"/>
        <w:rPr>
          <w:rFonts w:ascii="仿宋_GB2312" w:eastAsia="仿宋_GB2312" w:hAnsi="宋体"/>
          <w:color w:val="auto"/>
          <w:sz w:val="30"/>
          <w:szCs w:val="30"/>
        </w:rPr>
      </w:pPr>
      <w:r>
        <w:rPr>
          <w:rFonts w:ascii="仿宋_GB2312" w:eastAsia="仿宋_GB2312" w:hAnsi="宋体" w:hint="eastAsia"/>
          <w:color w:val="auto"/>
          <w:sz w:val="30"/>
          <w:szCs w:val="30"/>
        </w:rPr>
        <w:t>2.</w:t>
      </w:r>
      <w:r>
        <w:rPr>
          <w:rFonts w:ascii="仿宋_GB2312" w:eastAsia="仿宋_GB2312" w:hAnsi="宋体"/>
          <w:color w:val="auto"/>
          <w:sz w:val="30"/>
          <w:szCs w:val="30"/>
        </w:rPr>
        <w:t>关联交易情况描述</w:t>
      </w:r>
      <w:r>
        <w:rPr>
          <w:rFonts w:ascii="仿宋_GB2312" w:eastAsia="仿宋_GB2312" w:hAnsi="宋体" w:hint="eastAsia"/>
          <w:color w:val="auto"/>
          <w:sz w:val="30"/>
          <w:szCs w:val="30"/>
        </w:rPr>
        <w:t>。</w:t>
      </w:r>
      <w:r>
        <w:rPr>
          <w:rFonts w:ascii="仿宋_GB2312" w:eastAsia="仿宋_GB2312" w:hAnsi="宋体"/>
          <w:color w:val="auto"/>
          <w:sz w:val="30"/>
          <w:szCs w:val="30"/>
        </w:rPr>
        <w:t>包括但不限于交易</w:t>
      </w:r>
      <w:r>
        <w:rPr>
          <w:rFonts w:ascii="仿宋_GB2312" w:eastAsia="仿宋_GB2312" w:hAnsi="宋体" w:hint="eastAsia"/>
          <w:color w:val="auto"/>
          <w:sz w:val="30"/>
          <w:szCs w:val="30"/>
        </w:rPr>
        <w:t>业务品种</w:t>
      </w:r>
      <w:r>
        <w:rPr>
          <w:rFonts w:ascii="仿宋_GB2312" w:eastAsia="仿宋_GB2312" w:hAnsi="宋体"/>
          <w:color w:val="auto"/>
          <w:sz w:val="30"/>
          <w:szCs w:val="30"/>
        </w:rPr>
        <w:t>、金额</w:t>
      </w:r>
      <w:r>
        <w:rPr>
          <w:rFonts w:ascii="仿宋_GB2312" w:eastAsia="仿宋_GB2312" w:hAnsi="宋体" w:hint="eastAsia"/>
          <w:color w:val="auto"/>
          <w:sz w:val="30"/>
          <w:szCs w:val="30"/>
        </w:rPr>
        <w:t>、担保</w:t>
      </w:r>
      <w:r>
        <w:rPr>
          <w:rFonts w:ascii="仿宋_GB2312" w:eastAsia="仿宋_GB2312" w:hAnsi="宋体"/>
          <w:color w:val="auto"/>
          <w:sz w:val="30"/>
          <w:szCs w:val="30"/>
        </w:rPr>
        <w:t>方式等</w:t>
      </w:r>
      <w:r>
        <w:rPr>
          <w:rFonts w:ascii="仿宋_GB2312" w:eastAsia="仿宋_GB2312" w:hAnsi="宋体" w:hint="eastAsia"/>
          <w:color w:val="auto"/>
          <w:sz w:val="30"/>
          <w:szCs w:val="30"/>
        </w:rPr>
        <w:t>；</w:t>
      </w:r>
      <w:r>
        <w:rPr>
          <w:rFonts w:ascii="仿宋_GB2312" w:eastAsia="仿宋_GB2312" w:hAnsi="宋体"/>
          <w:color w:val="auto"/>
          <w:sz w:val="30"/>
          <w:szCs w:val="30"/>
        </w:rPr>
        <w:t>业务审查、审批</w:t>
      </w:r>
      <w:r>
        <w:rPr>
          <w:rFonts w:ascii="仿宋_GB2312" w:eastAsia="仿宋_GB2312" w:hAnsi="宋体" w:hint="eastAsia"/>
          <w:color w:val="auto"/>
          <w:sz w:val="30"/>
          <w:szCs w:val="30"/>
        </w:rPr>
        <w:t>过程</w:t>
      </w:r>
      <w:r>
        <w:rPr>
          <w:rFonts w:ascii="仿宋_GB2312" w:eastAsia="仿宋_GB2312" w:hAnsi="宋体"/>
          <w:color w:val="auto"/>
          <w:sz w:val="30"/>
          <w:szCs w:val="30"/>
        </w:rPr>
        <w:t>中</w:t>
      </w:r>
      <w:r>
        <w:rPr>
          <w:rFonts w:ascii="仿宋_GB2312" w:eastAsia="仿宋_GB2312" w:hAnsi="宋体" w:hint="eastAsia"/>
          <w:color w:val="auto"/>
          <w:sz w:val="30"/>
          <w:szCs w:val="30"/>
        </w:rPr>
        <w:t>指出</w:t>
      </w:r>
      <w:r>
        <w:rPr>
          <w:rFonts w:ascii="仿宋_GB2312" w:eastAsia="仿宋_GB2312" w:hAnsi="宋体"/>
          <w:color w:val="auto"/>
          <w:sz w:val="30"/>
          <w:szCs w:val="30"/>
        </w:rPr>
        <w:t>的风险点</w:t>
      </w:r>
      <w:r>
        <w:rPr>
          <w:rFonts w:ascii="仿宋_GB2312" w:eastAsia="仿宋_GB2312" w:hAnsi="宋体" w:hint="eastAsia"/>
          <w:color w:val="auto"/>
          <w:sz w:val="30"/>
          <w:szCs w:val="30"/>
        </w:rPr>
        <w:t>及</w:t>
      </w:r>
      <w:r>
        <w:rPr>
          <w:rFonts w:ascii="仿宋_GB2312" w:eastAsia="仿宋_GB2312" w:hAnsi="宋体"/>
          <w:color w:val="auto"/>
          <w:sz w:val="30"/>
          <w:szCs w:val="30"/>
        </w:rPr>
        <w:t>防控措施</w:t>
      </w:r>
      <w:r>
        <w:rPr>
          <w:rFonts w:ascii="仿宋_GB2312" w:eastAsia="仿宋_GB2312" w:hAnsi="宋体" w:hint="eastAsia"/>
          <w:color w:val="auto"/>
          <w:sz w:val="30"/>
          <w:szCs w:val="30"/>
        </w:rPr>
        <w:t>；业务有权审批机构的审批意见等；</w:t>
      </w:r>
    </w:p>
    <w:p w:rsidR="005C402C" w:rsidRDefault="005C402C" w:rsidP="005C402C">
      <w:pPr>
        <w:pStyle w:val="ae"/>
        <w:widowControl w:val="0"/>
        <w:adjustRightInd w:val="0"/>
        <w:snapToGrid w:val="0"/>
        <w:spacing w:before="0" w:after="0" w:line="360" w:lineRule="auto"/>
        <w:ind w:firstLineChars="200" w:firstLine="600"/>
        <w:jc w:val="both"/>
        <w:rPr>
          <w:rFonts w:ascii="仿宋_GB2312" w:eastAsia="仿宋_GB2312" w:hAnsi="宋体"/>
          <w:color w:val="auto"/>
          <w:sz w:val="30"/>
          <w:szCs w:val="30"/>
        </w:rPr>
      </w:pPr>
      <w:r>
        <w:rPr>
          <w:rFonts w:ascii="仿宋_GB2312" w:eastAsia="仿宋_GB2312" w:hAnsi="宋体"/>
          <w:color w:val="auto"/>
          <w:sz w:val="30"/>
          <w:szCs w:val="30"/>
        </w:rPr>
        <w:t>3.关联交易的定价</w:t>
      </w:r>
      <w:r>
        <w:rPr>
          <w:rFonts w:ascii="仿宋_GB2312" w:eastAsia="仿宋_GB2312" w:hAnsi="宋体" w:hint="eastAsia"/>
          <w:color w:val="auto"/>
          <w:sz w:val="30"/>
          <w:szCs w:val="30"/>
        </w:rPr>
        <w:t>，</w:t>
      </w:r>
      <w:r>
        <w:rPr>
          <w:rFonts w:ascii="仿宋_GB2312" w:eastAsia="仿宋_GB2312" w:hAnsi="宋体"/>
          <w:color w:val="auto"/>
          <w:sz w:val="30"/>
          <w:szCs w:val="30"/>
        </w:rPr>
        <w:t>包括</w:t>
      </w:r>
      <w:r>
        <w:rPr>
          <w:rFonts w:ascii="仿宋_GB2312" w:eastAsia="仿宋_GB2312" w:hAnsi="宋体" w:hint="eastAsia"/>
          <w:color w:val="auto"/>
          <w:sz w:val="30"/>
          <w:szCs w:val="30"/>
        </w:rPr>
        <w:t>但</w:t>
      </w:r>
      <w:r>
        <w:rPr>
          <w:rFonts w:ascii="仿宋_GB2312" w:eastAsia="仿宋_GB2312" w:hAnsi="宋体"/>
          <w:color w:val="auto"/>
          <w:sz w:val="30"/>
          <w:szCs w:val="30"/>
        </w:rPr>
        <w:t>不限于</w:t>
      </w:r>
      <w:r>
        <w:rPr>
          <w:rFonts w:ascii="仿宋_GB2312" w:eastAsia="仿宋_GB2312" w:hAnsi="宋体" w:hint="eastAsia"/>
          <w:color w:val="auto"/>
          <w:sz w:val="30"/>
          <w:szCs w:val="30"/>
        </w:rPr>
        <w:t>交易</w:t>
      </w:r>
      <w:r>
        <w:rPr>
          <w:rFonts w:ascii="仿宋_GB2312" w:eastAsia="仿宋_GB2312" w:hAnsi="宋体"/>
          <w:color w:val="auto"/>
          <w:sz w:val="30"/>
          <w:szCs w:val="30"/>
        </w:rPr>
        <w:t>价格、定价依据或</w:t>
      </w:r>
      <w:r>
        <w:rPr>
          <w:rFonts w:ascii="仿宋_GB2312" w:eastAsia="仿宋_GB2312" w:hAnsi="宋体" w:hint="eastAsia"/>
          <w:color w:val="auto"/>
          <w:sz w:val="30"/>
          <w:szCs w:val="30"/>
        </w:rPr>
        <w:t>原因</w:t>
      </w:r>
      <w:r>
        <w:rPr>
          <w:rFonts w:ascii="仿宋_GB2312" w:eastAsia="仿宋_GB2312" w:hAnsi="宋体"/>
          <w:color w:val="auto"/>
          <w:sz w:val="30"/>
          <w:szCs w:val="30"/>
        </w:rPr>
        <w:t>、</w:t>
      </w:r>
      <w:r>
        <w:rPr>
          <w:rFonts w:ascii="仿宋_GB2312" w:eastAsia="仿宋_GB2312" w:hAnsi="宋体" w:hint="eastAsia"/>
          <w:color w:val="auto"/>
          <w:sz w:val="30"/>
          <w:szCs w:val="30"/>
        </w:rPr>
        <w:t>是否符合商业原则和“一般商业条款”或更佳条款，</w:t>
      </w:r>
      <w:r>
        <w:rPr>
          <w:rFonts w:ascii="仿宋_GB2312" w:eastAsia="仿宋_GB2312" w:hAnsi="宋体"/>
          <w:color w:val="auto"/>
          <w:sz w:val="30"/>
          <w:szCs w:val="30"/>
        </w:rPr>
        <w:t>以及与非关联方同类交易定价的比较等</w:t>
      </w:r>
      <w:r>
        <w:rPr>
          <w:rFonts w:ascii="仿宋_GB2312" w:eastAsia="仿宋_GB2312" w:hAnsi="宋体" w:hint="eastAsia"/>
          <w:color w:val="auto"/>
          <w:sz w:val="30"/>
          <w:szCs w:val="30"/>
        </w:rPr>
        <w:t>；</w:t>
      </w:r>
    </w:p>
    <w:p w:rsidR="005C402C" w:rsidRDefault="005C402C" w:rsidP="005C402C">
      <w:pPr>
        <w:pStyle w:val="ae"/>
        <w:widowControl w:val="0"/>
        <w:adjustRightInd w:val="0"/>
        <w:snapToGrid w:val="0"/>
        <w:spacing w:before="0" w:after="0" w:line="360" w:lineRule="auto"/>
        <w:ind w:left="665" w:firstLine="0"/>
        <w:jc w:val="both"/>
        <w:rPr>
          <w:rFonts w:ascii="仿宋_GB2312" w:eastAsia="仿宋_GB2312" w:hAnsi="宋体"/>
          <w:color w:val="auto"/>
          <w:sz w:val="30"/>
          <w:szCs w:val="30"/>
        </w:rPr>
      </w:pPr>
      <w:r>
        <w:rPr>
          <w:rFonts w:ascii="仿宋_GB2312" w:eastAsia="仿宋_GB2312" w:hAnsi="宋体" w:hint="eastAsia"/>
          <w:color w:val="auto"/>
          <w:sz w:val="30"/>
          <w:szCs w:val="30"/>
        </w:rPr>
        <w:t>4.</w:t>
      </w:r>
      <w:r>
        <w:rPr>
          <w:rFonts w:ascii="仿宋_GB2312" w:eastAsia="仿宋_GB2312" w:hAnsi="宋体"/>
          <w:color w:val="auto"/>
          <w:sz w:val="30"/>
          <w:szCs w:val="30"/>
        </w:rPr>
        <w:t xml:space="preserve"> 关联交易的影响</w:t>
      </w:r>
      <w:r>
        <w:rPr>
          <w:rFonts w:ascii="仿宋_GB2312" w:eastAsia="仿宋_GB2312" w:hAnsi="宋体" w:hint="eastAsia"/>
          <w:color w:val="auto"/>
          <w:sz w:val="30"/>
          <w:szCs w:val="30"/>
        </w:rPr>
        <w:t>。</w:t>
      </w:r>
    </w:p>
    <w:p w:rsidR="005C402C" w:rsidRDefault="005C402C" w:rsidP="005C402C">
      <w:pPr>
        <w:pStyle w:val="ae"/>
        <w:widowControl w:val="0"/>
        <w:adjustRightInd w:val="0"/>
        <w:snapToGrid w:val="0"/>
        <w:spacing w:before="0" w:after="0" w:line="360" w:lineRule="auto"/>
        <w:ind w:firstLineChars="200" w:firstLine="600"/>
        <w:jc w:val="both"/>
        <w:rPr>
          <w:rFonts w:ascii="仿宋_GB2312" w:eastAsia="仿宋_GB2312" w:hAnsi="宋体"/>
          <w:color w:val="auto"/>
          <w:sz w:val="30"/>
          <w:szCs w:val="30"/>
        </w:rPr>
      </w:pPr>
      <w:r>
        <w:rPr>
          <w:rFonts w:ascii="仿宋_GB2312" w:eastAsia="仿宋_GB2312" w:hAnsi="宋体" w:hint="eastAsia"/>
          <w:color w:val="auto"/>
          <w:sz w:val="30"/>
          <w:szCs w:val="30"/>
        </w:rPr>
        <w:t>（三）其他</w:t>
      </w:r>
      <w:r>
        <w:rPr>
          <w:rFonts w:ascii="仿宋_GB2312" w:eastAsia="仿宋_GB2312" w:hAnsi="宋体"/>
          <w:color w:val="auto"/>
          <w:sz w:val="30"/>
          <w:szCs w:val="30"/>
        </w:rPr>
        <w:t>材料，</w:t>
      </w:r>
      <w:r>
        <w:rPr>
          <w:rFonts w:ascii="仿宋_GB2312" w:eastAsia="仿宋_GB2312" w:hAnsi="宋体" w:hint="eastAsia"/>
          <w:color w:val="auto"/>
          <w:sz w:val="30"/>
          <w:szCs w:val="30"/>
        </w:rPr>
        <w:t>包括</w:t>
      </w:r>
      <w:r>
        <w:rPr>
          <w:rFonts w:ascii="仿宋_GB2312" w:eastAsia="仿宋_GB2312" w:hAnsi="宋体"/>
          <w:color w:val="auto"/>
          <w:sz w:val="30"/>
          <w:szCs w:val="30"/>
        </w:rPr>
        <w:t>业务调查报告、审查报告；关联交易所涉及法律文本</w:t>
      </w:r>
      <w:r>
        <w:rPr>
          <w:rFonts w:ascii="仿宋_GB2312" w:eastAsia="仿宋_GB2312" w:hAnsi="宋体" w:hint="eastAsia"/>
          <w:color w:val="auto"/>
          <w:sz w:val="30"/>
          <w:szCs w:val="30"/>
        </w:rPr>
        <w:t>（如有</w:t>
      </w:r>
      <w:r>
        <w:rPr>
          <w:rFonts w:ascii="仿宋_GB2312" w:eastAsia="仿宋_GB2312" w:hAnsi="宋体"/>
          <w:color w:val="auto"/>
          <w:sz w:val="30"/>
          <w:szCs w:val="30"/>
        </w:rPr>
        <w:t>，可提交</w:t>
      </w:r>
      <w:r>
        <w:rPr>
          <w:rFonts w:ascii="仿宋_GB2312" w:eastAsia="仿宋_GB2312" w:hAnsi="宋体" w:hint="eastAsia"/>
          <w:color w:val="auto"/>
          <w:sz w:val="30"/>
          <w:szCs w:val="30"/>
        </w:rPr>
        <w:t>复印件</w:t>
      </w:r>
      <w:r>
        <w:rPr>
          <w:rFonts w:ascii="仿宋_GB2312" w:eastAsia="仿宋_GB2312" w:hAnsi="宋体"/>
          <w:color w:val="auto"/>
          <w:sz w:val="30"/>
          <w:szCs w:val="30"/>
        </w:rPr>
        <w:t>）</w:t>
      </w:r>
      <w:r>
        <w:rPr>
          <w:rFonts w:ascii="仿宋_GB2312" w:eastAsia="仿宋_GB2312" w:hAnsi="宋体" w:hint="eastAsia"/>
          <w:color w:val="auto"/>
          <w:sz w:val="30"/>
          <w:szCs w:val="30"/>
        </w:rPr>
        <w:t>；</w:t>
      </w:r>
      <w:r>
        <w:rPr>
          <w:rFonts w:ascii="仿宋_GB2312" w:eastAsia="仿宋_GB2312" w:hAnsi="宋体"/>
          <w:color w:val="auto"/>
          <w:sz w:val="30"/>
          <w:szCs w:val="30"/>
        </w:rPr>
        <w:t>股东大会、董事会或关联交易</w:t>
      </w:r>
      <w:r>
        <w:rPr>
          <w:rFonts w:ascii="仿宋_GB2312" w:eastAsia="仿宋_GB2312" w:hAnsi="宋体" w:hint="eastAsia"/>
          <w:color w:val="auto"/>
          <w:sz w:val="30"/>
          <w:szCs w:val="30"/>
        </w:rPr>
        <w:t>控制</w:t>
      </w:r>
      <w:r>
        <w:rPr>
          <w:rFonts w:ascii="仿宋_GB2312" w:eastAsia="仿宋_GB2312" w:hAnsi="宋体"/>
          <w:color w:val="auto"/>
          <w:sz w:val="30"/>
          <w:szCs w:val="30"/>
        </w:rPr>
        <w:t>委员会需要的其他材料。</w:t>
      </w:r>
    </w:p>
    <w:p w:rsidR="005C402C" w:rsidRDefault="005C402C" w:rsidP="005C402C">
      <w:pPr>
        <w:pStyle w:val="ae"/>
        <w:widowControl w:val="0"/>
        <w:tabs>
          <w:tab w:val="left" w:pos="2807"/>
        </w:tabs>
        <w:adjustRightInd w:val="0"/>
        <w:snapToGrid w:val="0"/>
        <w:spacing w:before="0" w:after="0" w:line="360" w:lineRule="auto"/>
        <w:ind w:firstLineChars="200" w:firstLine="634"/>
        <w:jc w:val="both"/>
        <w:rPr>
          <w:rFonts w:ascii="仿宋_GB2312" w:eastAsia="仿宋_GB2312" w:hAnsi="宋体"/>
          <w:color w:val="auto"/>
          <w:spacing w:val="8"/>
          <w:sz w:val="30"/>
          <w:szCs w:val="30"/>
        </w:rPr>
      </w:pPr>
      <w:r>
        <w:rPr>
          <w:rFonts w:ascii="仿宋_GB2312" w:eastAsia="仿宋_GB2312" w:hAnsi="宋体" w:hint="eastAsia"/>
          <w:b/>
          <w:color w:val="auto"/>
          <w:spacing w:val="8"/>
          <w:sz w:val="30"/>
          <w:szCs w:val="30"/>
        </w:rPr>
        <w:t>第二十八</w:t>
      </w:r>
      <w:r>
        <w:rPr>
          <w:rFonts w:ascii="仿宋_GB2312" w:eastAsia="仿宋_GB2312" w:hAnsi="宋体"/>
          <w:b/>
          <w:color w:val="auto"/>
          <w:spacing w:val="8"/>
          <w:sz w:val="30"/>
          <w:szCs w:val="30"/>
        </w:rPr>
        <w:t>条</w:t>
      </w:r>
      <w:r>
        <w:rPr>
          <w:rFonts w:ascii="仿宋_GB2312" w:eastAsia="仿宋_GB2312" w:hAnsi="宋体" w:hint="eastAsia"/>
          <w:b/>
          <w:color w:val="auto"/>
          <w:spacing w:val="8"/>
          <w:sz w:val="30"/>
          <w:szCs w:val="30"/>
        </w:rPr>
        <w:t xml:space="preserve">  </w:t>
      </w:r>
      <w:r>
        <w:rPr>
          <w:rFonts w:ascii="仿宋_GB2312" w:eastAsia="仿宋_GB2312" w:hAnsi="宋体" w:hint="eastAsia"/>
          <w:color w:val="auto"/>
          <w:spacing w:val="8"/>
          <w:sz w:val="30"/>
          <w:szCs w:val="30"/>
        </w:rPr>
        <w:t>分类</w:t>
      </w:r>
      <w:r>
        <w:rPr>
          <w:rFonts w:ascii="仿宋_GB2312" w:eastAsia="仿宋_GB2312" w:hAnsi="宋体"/>
          <w:color w:val="auto"/>
          <w:spacing w:val="8"/>
          <w:sz w:val="30"/>
          <w:szCs w:val="30"/>
        </w:rPr>
        <w:t>审查</w:t>
      </w:r>
      <w:r>
        <w:rPr>
          <w:rFonts w:ascii="仿宋_GB2312" w:eastAsia="仿宋_GB2312" w:hAnsi="宋体" w:hint="eastAsia"/>
          <w:color w:val="auto"/>
          <w:spacing w:val="8"/>
          <w:sz w:val="30"/>
          <w:szCs w:val="30"/>
        </w:rPr>
        <w:t>。本行对</w:t>
      </w:r>
      <w:r>
        <w:rPr>
          <w:rFonts w:ascii="仿宋_GB2312" w:eastAsia="仿宋_GB2312" w:hAnsi="宋体"/>
          <w:color w:val="auto"/>
          <w:spacing w:val="8"/>
          <w:sz w:val="30"/>
          <w:szCs w:val="30"/>
        </w:rPr>
        <w:t>授信类关联交易和非</w:t>
      </w:r>
      <w:r>
        <w:rPr>
          <w:rFonts w:ascii="仿宋_GB2312" w:eastAsia="仿宋_GB2312" w:hAnsi="宋体" w:hint="eastAsia"/>
          <w:color w:val="auto"/>
          <w:spacing w:val="8"/>
          <w:sz w:val="30"/>
          <w:szCs w:val="30"/>
        </w:rPr>
        <w:t>授信</w:t>
      </w:r>
      <w:r>
        <w:rPr>
          <w:rFonts w:ascii="仿宋_GB2312" w:eastAsia="仿宋_GB2312" w:hAnsi="宋体"/>
          <w:color w:val="auto"/>
          <w:spacing w:val="8"/>
          <w:sz w:val="30"/>
          <w:szCs w:val="30"/>
        </w:rPr>
        <w:t>类关联交易实施分类审查</w:t>
      </w:r>
      <w:r>
        <w:rPr>
          <w:rFonts w:ascii="仿宋_GB2312" w:eastAsia="仿宋_GB2312" w:hAnsi="宋体" w:hint="eastAsia"/>
          <w:color w:val="auto"/>
          <w:spacing w:val="8"/>
          <w:sz w:val="30"/>
          <w:szCs w:val="30"/>
        </w:rPr>
        <w:t>。</w:t>
      </w:r>
    </w:p>
    <w:p w:rsidR="005C402C" w:rsidRDefault="005C402C" w:rsidP="005C402C">
      <w:pPr>
        <w:pStyle w:val="ae"/>
        <w:widowControl w:val="0"/>
        <w:adjustRightInd w:val="0"/>
        <w:snapToGrid w:val="0"/>
        <w:spacing w:before="0" w:after="0" w:line="360" w:lineRule="auto"/>
        <w:ind w:firstLineChars="200" w:firstLine="632"/>
        <w:jc w:val="both"/>
        <w:rPr>
          <w:rFonts w:ascii="仿宋_GB2312" w:eastAsia="仿宋_GB2312" w:hAnsi="宋体"/>
          <w:color w:val="auto"/>
          <w:spacing w:val="8"/>
          <w:sz w:val="30"/>
          <w:szCs w:val="30"/>
        </w:rPr>
      </w:pPr>
      <w:r>
        <w:rPr>
          <w:rFonts w:ascii="仿宋_GB2312" w:eastAsia="仿宋_GB2312" w:hAnsi="宋体" w:hint="eastAsia"/>
          <w:color w:val="auto"/>
          <w:spacing w:val="8"/>
          <w:sz w:val="30"/>
          <w:szCs w:val="30"/>
        </w:rPr>
        <w:t>（一）</w:t>
      </w:r>
      <w:r>
        <w:rPr>
          <w:rFonts w:ascii="仿宋_GB2312" w:eastAsia="仿宋_GB2312" w:hAnsi="宋体"/>
          <w:color w:val="auto"/>
          <w:spacing w:val="8"/>
          <w:sz w:val="30"/>
          <w:szCs w:val="30"/>
        </w:rPr>
        <w:t>授信类</w:t>
      </w:r>
      <w:r>
        <w:rPr>
          <w:rFonts w:ascii="仿宋_GB2312" w:eastAsia="仿宋_GB2312" w:hAnsi="宋体" w:hint="eastAsia"/>
          <w:color w:val="auto"/>
          <w:spacing w:val="8"/>
          <w:sz w:val="30"/>
          <w:szCs w:val="30"/>
        </w:rPr>
        <w:t>关联</w:t>
      </w:r>
      <w:r>
        <w:rPr>
          <w:rFonts w:ascii="仿宋_GB2312" w:eastAsia="仿宋_GB2312" w:hAnsi="宋体"/>
          <w:color w:val="auto"/>
          <w:spacing w:val="8"/>
          <w:sz w:val="30"/>
          <w:szCs w:val="30"/>
        </w:rPr>
        <w:t>交易</w:t>
      </w:r>
      <w:r>
        <w:rPr>
          <w:rFonts w:ascii="仿宋_GB2312" w:eastAsia="仿宋_GB2312" w:hAnsi="宋体" w:hint="eastAsia"/>
          <w:color w:val="auto"/>
          <w:spacing w:val="8"/>
          <w:sz w:val="30"/>
          <w:szCs w:val="30"/>
        </w:rPr>
        <w:t>由</w:t>
      </w:r>
      <w:r>
        <w:rPr>
          <w:rFonts w:ascii="仿宋_GB2312" w:eastAsia="仿宋_GB2312" w:hAnsi="宋体"/>
          <w:color w:val="auto"/>
          <w:spacing w:val="8"/>
          <w:sz w:val="30"/>
          <w:szCs w:val="30"/>
        </w:rPr>
        <w:t>总行授信审批部负责审查</w:t>
      </w:r>
      <w:r>
        <w:rPr>
          <w:rFonts w:ascii="仿宋_GB2312" w:eastAsia="仿宋_GB2312" w:hAnsi="宋体" w:hint="eastAsia"/>
          <w:color w:val="auto"/>
          <w:spacing w:val="8"/>
          <w:sz w:val="30"/>
          <w:szCs w:val="30"/>
        </w:rPr>
        <w:t>，交易发起</w:t>
      </w:r>
      <w:r>
        <w:rPr>
          <w:rFonts w:ascii="仿宋_GB2312" w:eastAsia="仿宋_GB2312" w:hAnsi="宋体"/>
          <w:color w:val="auto"/>
          <w:spacing w:val="8"/>
          <w:sz w:val="30"/>
          <w:szCs w:val="30"/>
        </w:rPr>
        <w:t>部门</w:t>
      </w:r>
      <w:r>
        <w:rPr>
          <w:rFonts w:ascii="仿宋_GB2312" w:eastAsia="仿宋_GB2312" w:hAnsi="宋体" w:hint="eastAsia"/>
          <w:color w:val="auto"/>
          <w:spacing w:val="8"/>
          <w:sz w:val="30"/>
          <w:szCs w:val="30"/>
        </w:rPr>
        <w:t>将《关联</w:t>
      </w:r>
      <w:r>
        <w:rPr>
          <w:rFonts w:ascii="仿宋_GB2312" w:eastAsia="仿宋_GB2312" w:hAnsi="宋体"/>
          <w:color w:val="auto"/>
          <w:spacing w:val="8"/>
          <w:sz w:val="30"/>
          <w:szCs w:val="30"/>
        </w:rPr>
        <w:t>交易</w:t>
      </w:r>
      <w:r>
        <w:rPr>
          <w:rFonts w:ascii="仿宋_GB2312" w:eastAsia="仿宋_GB2312" w:hAnsi="宋体" w:hint="eastAsia"/>
          <w:color w:val="auto"/>
          <w:spacing w:val="8"/>
          <w:sz w:val="30"/>
          <w:szCs w:val="30"/>
        </w:rPr>
        <w:t>审查</w:t>
      </w:r>
      <w:r>
        <w:rPr>
          <w:rFonts w:ascii="仿宋_GB2312" w:eastAsia="仿宋_GB2312" w:hAnsi="宋体"/>
          <w:color w:val="auto"/>
          <w:spacing w:val="8"/>
          <w:sz w:val="30"/>
          <w:szCs w:val="30"/>
        </w:rPr>
        <w:t>申请表</w:t>
      </w:r>
      <w:r>
        <w:rPr>
          <w:rFonts w:ascii="仿宋_GB2312" w:eastAsia="仿宋_GB2312" w:hAnsi="宋体" w:hint="eastAsia"/>
          <w:color w:val="auto"/>
          <w:spacing w:val="8"/>
          <w:sz w:val="30"/>
          <w:szCs w:val="30"/>
        </w:rPr>
        <w:t>》（附件6）及</w:t>
      </w:r>
      <w:r>
        <w:rPr>
          <w:rFonts w:ascii="仿宋_GB2312" w:eastAsia="仿宋_GB2312" w:hAnsi="宋体"/>
          <w:color w:val="auto"/>
          <w:spacing w:val="8"/>
          <w:sz w:val="30"/>
          <w:szCs w:val="30"/>
        </w:rPr>
        <w:t>报告</w:t>
      </w:r>
      <w:r>
        <w:rPr>
          <w:rFonts w:ascii="仿宋_GB2312" w:eastAsia="仿宋_GB2312" w:hAnsi="宋体" w:hint="eastAsia"/>
          <w:color w:val="auto"/>
          <w:spacing w:val="8"/>
          <w:sz w:val="30"/>
          <w:szCs w:val="30"/>
        </w:rPr>
        <w:t>等申报材料报送总行条线管理部门初审。初审</w:t>
      </w:r>
      <w:r>
        <w:rPr>
          <w:rFonts w:ascii="仿宋_GB2312" w:eastAsia="仿宋_GB2312" w:hAnsi="宋体"/>
          <w:color w:val="auto"/>
          <w:spacing w:val="8"/>
          <w:sz w:val="30"/>
          <w:szCs w:val="30"/>
        </w:rPr>
        <w:t>部门负责人</w:t>
      </w:r>
      <w:r>
        <w:rPr>
          <w:rFonts w:ascii="仿宋_GB2312" w:eastAsia="仿宋_GB2312" w:hAnsi="宋体" w:hint="eastAsia"/>
          <w:color w:val="auto"/>
          <w:spacing w:val="8"/>
          <w:sz w:val="30"/>
          <w:szCs w:val="30"/>
        </w:rPr>
        <w:t>签署</w:t>
      </w:r>
      <w:r>
        <w:rPr>
          <w:rFonts w:ascii="仿宋_GB2312" w:eastAsia="仿宋_GB2312" w:hAnsi="宋体"/>
          <w:color w:val="auto"/>
          <w:spacing w:val="8"/>
          <w:sz w:val="30"/>
          <w:szCs w:val="30"/>
        </w:rPr>
        <w:t>意见后，</w:t>
      </w:r>
      <w:r>
        <w:rPr>
          <w:rFonts w:ascii="仿宋_GB2312" w:eastAsia="仿宋_GB2312" w:hAnsi="宋体" w:hint="eastAsia"/>
          <w:color w:val="auto"/>
          <w:spacing w:val="8"/>
          <w:sz w:val="30"/>
          <w:szCs w:val="30"/>
        </w:rPr>
        <w:t>报送总行授信审批部审查。授信</w:t>
      </w:r>
      <w:r>
        <w:rPr>
          <w:rFonts w:ascii="仿宋_GB2312" w:eastAsia="仿宋_GB2312" w:hAnsi="宋体"/>
          <w:color w:val="auto"/>
          <w:spacing w:val="8"/>
          <w:sz w:val="30"/>
          <w:szCs w:val="30"/>
        </w:rPr>
        <w:t>审批部</w:t>
      </w:r>
      <w:r>
        <w:rPr>
          <w:rFonts w:ascii="仿宋_GB2312" w:eastAsia="仿宋_GB2312" w:hAnsi="宋体" w:hint="eastAsia"/>
          <w:color w:val="auto"/>
          <w:spacing w:val="8"/>
          <w:sz w:val="30"/>
          <w:szCs w:val="30"/>
        </w:rPr>
        <w:t>审查并由部门</w:t>
      </w:r>
      <w:r>
        <w:rPr>
          <w:rFonts w:ascii="仿宋_GB2312" w:eastAsia="仿宋_GB2312" w:hAnsi="宋体"/>
          <w:color w:val="auto"/>
          <w:spacing w:val="8"/>
          <w:sz w:val="30"/>
          <w:szCs w:val="30"/>
        </w:rPr>
        <w:t>负责人</w:t>
      </w:r>
      <w:r>
        <w:rPr>
          <w:rFonts w:ascii="仿宋_GB2312" w:eastAsia="仿宋_GB2312" w:hAnsi="宋体" w:hint="eastAsia"/>
          <w:color w:val="auto"/>
          <w:spacing w:val="8"/>
          <w:sz w:val="30"/>
          <w:szCs w:val="30"/>
        </w:rPr>
        <w:t>签署</w:t>
      </w:r>
      <w:r>
        <w:rPr>
          <w:rFonts w:ascii="仿宋_GB2312" w:eastAsia="仿宋_GB2312" w:hAnsi="宋体"/>
          <w:color w:val="auto"/>
          <w:spacing w:val="8"/>
          <w:sz w:val="30"/>
          <w:szCs w:val="30"/>
        </w:rPr>
        <w:t>审查意见</w:t>
      </w:r>
      <w:r>
        <w:rPr>
          <w:rFonts w:ascii="仿宋_GB2312" w:eastAsia="仿宋_GB2312" w:hAnsi="宋体" w:hint="eastAsia"/>
          <w:color w:val="auto"/>
          <w:spacing w:val="8"/>
          <w:sz w:val="30"/>
          <w:szCs w:val="30"/>
        </w:rPr>
        <w:t>后</w:t>
      </w:r>
      <w:r>
        <w:rPr>
          <w:rFonts w:ascii="仿宋_GB2312" w:eastAsia="仿宋_GB2312" w:hAnsi="宋体"/>
          <w:color w:val="auto"/>
          <w:spacing w:val="8"/>
          <w:sz w:val="30"/>
          <w:szCs w:val="30"/>
        </w:rPr>
        <w:t>，移交</w:t>
      </w:r>
      <w:r>
        <w:rPr>
          <w:rFonts w:ascii="仿宋_GB2312" w:eastAsia="仿宋_GB2312" w:hAnsi="宋体" w:hint="eastAsia"/>
          <w:color w:val="auto"/>
          <w:spacing w:val="8"/>
          <w:sz w:val="30"/>
          <w:szCs w:val="30"/>
        </w:rPr>
        <w:t>董事会办公室。董事会办公室</w:t>
      </w:r>
      <w:r>
        <w:rPr>
          <w:rFonts w:ascii="仿宋_GB2312" w:eastAsia="仿宋_GB2312" w:hAnsi="宋体" w:hint="eastAsia"/>
          <w:color w:val="auto"/>
          <w:spacing w:val="8"/>
          <w:sz w:val="30"/>
          <w:szCs w:val="30"/>
        </w:rPr>
        <w:lastRenderedPageBreak/>
        <w:t>对</w:t>
      </w:r>
      <w:r>
        <w:rPr>
          <w:rFonts w:ascii="仿宋_GB2312" w:eastAsia="仿宋_GB2312" w:hAnsi="宋体" w:hint="eastAsia"/>
          <w:color w:val="auto"/>
          <w:sz w:val="30"/>
          <w:szCs w:val="30"/>
        </w:rPr>
        <w:t>关联方限额等进行</w:t>
      </w:r>
      <w:r>
        <w:rPr>
          <w:rFonts w:ascii="仿宋_GB2312" w:eastAsia="仿宋_GB2312" w:hAnsi="宋体"/>
          <w:color w:val="auto"/>
          <w:sz w:val="30"/>
          <w:szCs w:val="30"/>
        </w:rPr>
        <w:t>审查</w:t>
      </w:r>
      <w:r>
        <w:rPr>
          <w:rFonts w:ascii="仿宋_GB2312" w:eastAsia="仿宋_GB2312" w:hAnsi="宋体" w:hint="eastAsia"/>
          <w:color w:val="auto"/>
          <w:sz w:val="30"/>
          <w:szCs w:val="30"/>
        </w:rPr>
        <w:t>，由</w:t>
      </w:r>
      <w:r>
        <w:rPr>
          <w:rFonts w:ascii="仿宋_GB2312" w:eastAsia="仿宋_GB2312" w:hAnsi="宋体"/>
          <w:color w:val="auto"/>
          <w:sz w:val="30"/>
          <w:szCs w:val="30"/>
        </w:rPr>
        <w:t>部门负责人签署审查意见，通过后</w:t>
      </w:r>
      <w:r>
        <w:rPr>
          <w:rFonts w:ascii="仿宋_GB2312" w:eastAsia="仿宋_GB2312" w:hAnsi="宋体" w:hint="eastAsia"/>
          <w:color w:val="auto"/>
          <w:sz w:val="30"/>
          <w:szCs w:val="30"/>
        </w:rPr>
        <w:t>按</w:t>
      </w:r>
      <w:r>
        <w:rPr>
          <w:rFonts w:ascii="仿宋_GB2312" w:eastAsia="仿宋_GB2312" w:hAnsi="宋体"/>
          <w:color w:val="auto"/>
          <w:sz w:val="30"/>
          <w:szCs w:val="30"/>
        </w:rPr>
        <w:t>规定</w:t>
      </w:r>
      <w:r>
        <w:rPr>
          <w:rFonts w:ascii="仿宋_GB2312" w:eastAsia="仿宋_GB2312" w:hAnsi="宋体" w:hint="eastAsia"/>
          <w:color w:val="auto"/>
          <w:spacing w:val="8"/>
          <w:sz w:val="30"/>
          <w:szCs w:val="30"/>
        </w:rPr>
        <w:t>通知</w:t>
      </w:r>
      <w:r>
        <w:rPr>
          <w:rFonts w:ascii="仿宋_GB2312" w:eastAsia="仿宋_GB2312" w:hAnsi="宋体"/>
          <w:color w:val="auto"/>
          <w:spacing w:val="8"/>
          <w:sz w:val="30"/>
          <w:szCs w:val="30"/>
        </w:rPr>
        <w:t>审批</w:t>
      </w:r>
      <w:r>
        <w:rPr>
          <w:rFonts w:ascii="仿宋_GB2312" w:eastAsia="仿宋_GB2312" w:hAnsi="宋体" w:hint="eastAsia"/>
          <w:color w:val="auto"/>
          <w:spacing w:val="8"/>
          <w:sz w:val="30"/>
          <w:szCs w:val="30"/>
        </w:rPr>
        <w:t>机构下发</w:t>
      </w:r>
      <w:r>
        <w:rPr>
          <w:rFonts w:ascii="仿宋_GB2312" w:eastAsia="仿宋_GB2312" w:hAnsi="宋体"/>
          <w:color w:val="auto"/>
          <w:spacing w:val="8"/>
          <w:sz w:val="30"/>
          <w:szCs w:val="30"/>
        </w:rPr>
        <w:t>业务</w:t>
      </w:r>
      <w:r>
        <w:rPr>
          <w:rFonts w:ascii="仿宋_GB2312" w:eastAsia="仿宋_GB2312" w:hAnsi="宋体" w:hint="eastAsia"/>
          <w:color w:val="auto"/>
          <w:spacing w:val="8"/>
          <w:sz w:val="30"/>
          <w:szCs w:val="30"/>
        </w:rPr>
        <w:t>批复，或者对</w:t>
      </w:r>
      <w:r>
        <w:rPr>
          <w:rFonts w:ascii="仿宋_GB2312" w:eastAsia="仿宋_GB2312" w:hAnsi="宋体"/>
          <w:color w:val="auto"/>
          <w:spacing w:val="8"/>
          <w:sz w:val="30"/>
          <w:szCs w:val="30"/>
        </w:rPr>
        <w:t>关联交易发起</w:t>
      </w:r>
      <w:r>
        <w:rPr>
          <w:rFonts w:ascii="仿宋_GB2312" w:eastAsia="仿宋_GB2312" w:hAnsi="宋体" w:hint="eastAsia"/>
          <w:color w:val="auto"/>
          <w:spacing w:val="8"/>
          <w:sz w:val="30"/>
          <w:szCs w:val="30"/>
        </w:rPr>
        <w:t>后续</w:t>
      </w:r>
      <w:r>
        <w:rPr>
          <w:rFonts w:ascii="仿宋_GB2312" w:eastAsia="仿宋_GB2312" w:hAnsi="宋体"/>
          <w:color w:val="auto"/>
          <w:spacing w:val="8"/>
          <w:sz w:val="30"/>
          <w:szCs w:val="30"/>
        </w:rPr>
        <w:t>审批流程。</w:t>
      </w:r>
    </w:p>
    <w:p w:rsidR="005C402C" w:rsidRDefault="005C402C" w:rsidP="005C402C">
      <w:pPr>
        <w:pStyle w:val="ae"/>
        <w:widowControl w:val="0"/>
        <w:adjustRightInd w:val="0"/>
        <w:snapToGrid w:val="0"/>
        <w:spacing w:before="0" w:after="0" w:line="360" w:lineRule="auto"/>
        <w:ind w:firstLineChars="200" w:firstLine="632"/>
        <w:jc w:val="both"/>
        <w:rPr>
          <w:rFonts w:ascii="仿宋_GB2312" w:eastAsia="仿宋_GB2312" w:hAnsi="宋体"/>
          <w:color w:val="auto"/>
          <w:spacing w:val="8"/>
          <w:sz w:val="30"/>
          <w:szCs w:val="30"/>
        </w:rPr>
      </w:pPr>
      <w:r>
        <w:rPr>
          <w:rFonts w:ascii="仿宋_GB2312" w:eastAsia="仿宋_GB2312" w:hAnsi="宋体"/>
          <w:color w:val="auto"/>
          <w:spacing w:val="8"/>
          <w:sz w:val="30"/>
          <w:szCs w:val="30"/>
        </w:rPr>
        <w:t>授信</w:t>
      </w:r>
      <w:r>
        <w:rPr>
          <w:rFonts w:ascii="仿宋_GB2312" w:eastAsia="仿宋_GB2312" w:hAnsi="宋体" w:hint="eastAsia"/>
          <w:color w:val="auto"/>
          <w:spacing w:val="8"/>
          <w:sz w:val="30"/>
          <w:szCs w:val="30"/>
        </w:rPr>
        <w:t>类</w:t>
      </w:r>
      <w:r>
        <w:rPr>
          <w:rFonts w:ascii="仿宋_GB2312" w:eastAsia="仿宋_GB2312" w:hAnsi="宋体"/>
          <w:color w:val="auto"/>
          <w:spacing w:val="8"/>
          <w:sz w:val="30"/>
          <w:szCs w:val="30"/>
        </w:rPr>
        <w:t>关联交易</w:t>
      </w:r>
      <w:r>
        <w:rPr>
          <w:rFonts w:ascii="仿宋_GB2312" w:eastAsia="仿宋_GB2312" w:hAnsi="宋体" w:hint="eastAsia"/>
          <w:color w:val="auto"/>
          <w:spacing w:val="8"/>
          <w:sz w:val="30"/>
          <w:szCs w:val="30"/>
        </w:rPr>
        <w:t>的</w:t>
      </w:r>
      <w:r>
        <w:rPr>
          <w:rFonts w:ascii="仿宋_GB2312" w:eastAsia="仿宋_GB2312" w:hAnsi="宋体"/>
          <w:color w:val="auto"/>
          <w:spacing w:val="8"/>
          <w:sz w:val="30"/>
          <w:szCs w:val="30"/>
        </w:rPr>
        <w:t>业务审查</w:t>
      </w:r>
      <w:r>
        <w:rPr>
          <w:rFonts w:ascii="仿宋_GB2312" w:eastAsia="仿宋_GB2312" w:hAnsi="宋体" w:hint="eastAsia"/>
          <w:color w:val="auto"/>
          <w:spacing w:val="8"/>
          <w:sz w:val="30"/>
          <w:szCs w:val="30"/>
        </w:rPr>
        <w:t>由</w:t>
      </w:r>
      <w:r>
        <w:rPr>
          <w:rFonts w:ascii="仿宋_GB2312" w:eastAsia="仿宋_GB2312" w:hAnsi="宋体"/>
          <w:color w:val="auto"/>
          <w:spacing w:val="8"/>
          <w:sz w:val="30"/>
          <w:szCs w:val="30"/>
        </w:rPr>
        <w:t>总行</w:t>
      </w:r>
      <w:r>
        <w:rPr>
          <w:rFonts w:ascii="仿宋_GB2312" w:eastAsia="仿宋_GB2312" w:hAnsi="宋体" w:hint="eastAsia"/>
          <w:color w:val="auto"/>
          <w:spacing w:val="8"/>
          <w:sz w:val="30"/>
          <w:szCs w:val="30"/>
        </w:rPr>
        <w:t>授信</w:t>
      </w:r>
      <w:r>
        <w:rPr>
          <w:rFonts w:ascii="仿宋_GB2312" w:eastAsia="仿宋_GB2312" w:hAnsi="宋体"/>
          <w:color w:val="auto"/>
          <w:spacing w:val="8"/>
          <w:sz w:val="30"/>
          <w:szCs w:val="30"/>
        </w:rPr>
        <w:t>审批部实施的，业务</w:t>
      </w:r>
      <w:r>
        <w:rPr>
          <w:rFonts w:ascii="仿宋_GB2312" w:eastAsia="仿宋_GB2312" w:hAnsi="宋体" w:hint="eastAsia"/>
          <w:color w:val="auto"/>
          <w:spacing w:val="8"/>
          <w:sz w:val="30"/>
          <w:szCs w:val="30"/>
        </w:rPr>
        <w:t>审查</w:t>
      </w:r>
      <w:r>
        <w:rPr>
          <w:rFonts w:ascii="仿宋_GB2312" w:eastAsia="仿宋_GB2312" w:hAnsi="宋体"/>
          <w:color w:val="auto"/>
          <w:spacing w:val="8"/>
          <w:sz w:val="30"/>
          <w:szCs w:val="30"/>
        </w:rPr>
        <w:t>可与</w:t>
      </w:r>
      <w:r>
        <w:rPr>
          <w:rFonts w:ascii="仿宋_GB2312" w:eastAsia="仿宋_GB2312" w:hAnsi="宋体" w:hint="eastAsia"/>
          <w:color w:val="auto"/>
          <w:spacing w:val="8"/>
          <w:sz w:val="30"/>
          <w:szCs w:val="30"/>
        </w:rPr>
        <w:t>关联</w:t>
      </w:r>
      <w:r>
        <w:rPr>
          <w:rFonts w:ascii="仿宋_GB2312" w:eastAsia="仿宋_GB2312" w:hAnsi="宋体"/>
          <w:color w:val="auto"/>
          <w:spacing w:val="8"/>
          <w:sz w:val="30"/>
          <w:szCs w:val="30"/>
        </w:rPr>
        <w:t>交易审查合并进行。</w:t>
      </w:r>
    </w:p>
    <w:p w:rsidR="005C402C" w:rsidRDefault="005C402C" w:rsidP="005C402C">
      <w:pPr>
        <w:pStyle w:val="ae"/>
        <w:widowControl w:val="0"/>
        <w:adjustRightInd w:val="0"/>
        <w:snapToGrid w:val="0"/>
        <w:spacing w:before="0" w:after="0" w:line="360" w:lineRule="auto"/>
        <w:ind w:firstLineChars="200" w:firstLine="632"/>
        <w:jc w:val="both"/>
        <w:rPr>
          <w:rFonts w:ascii="仿宋_GB2312" w:eastAsia="仿宋_GB2312" w:hAnsi="宋体"/>
          <w:color w:val="auto"/>
          <w:spacing w:val="8"/>
          <w:sz w:val="30"/>
          <w:szCs w:val="30"/>
        </w:rPr>
      </w:pPr>
      <w:r>
        <w:rPr>
          <w:rFonts w:ascii="仿宋_GB2312" w:eastAsia="仿宋_GB2312" w:hAnsi="宋体" w:hint="eastAsia"/>
          <w:color w:val="auto"/>
          <w:spacing w:val="8"/>
          <w:sz w:val="30"/>
          <w:szCs w:val="30"/>
        </w:rPr>
        <w:t>（二）非授信</w:t>
      </w:r>
      <w:r>
        <w:rPr>
          <w:rFonts w:ascii="仿宋_GB2312" w:eastAsia="仿宋_GB2312" w:hAnsi="宋体"/>
          <w:color w:val="auto"/>
          <w:spacing w:val="8"/>
          <w:sz w:val="30"/>
          <w:szCs w:val="30"/>
        </w:rPr>
        <w:t>类关联</w:t>
      </w:r>
      <w:r>
        <w:rPr>
          <w:rFonts w:ascii="仿宋_GB2312" w:eastAsia="仿宋_GB2312" w:hAnsi="宋体" w:hint="eastAsia"/>
          <w:color w:val="auto"/>
          <w:spacing w:val="8"/>
          <w:sz w:val="30"/>
          <w:szCs w:val="30"/>
        </w:rPr>
        <w:t>交易</w:t>
      </w:r>
      <w:r>
        <w:rPr>
          <w:rFonts w:ascii="仿宋_GB2312" w:eastAsia="仿宋_GB2312" w:hAnsi="宋体"/>
          <w:color w:val="auto"/>
          <w:spacing w:val="8"/>
          <w:sz w:val="30"/>
          <w:szCs w:val="30"/>
        </w:rPr>
        <w:t>由总行</w:t>
      </w:r>
      <w:r>
        <w:rPr>
          <w:rFonts w:ascii="仿宋_GB2312" w:eastAsia="仿宋_GB2312" w:hAnsi="宋体" w:hint="eastAsia"/>
          <w:color w:val="auto"/>
          <w:spacing w:val="8"/>
          <w:sz w:val="30"/>
          <w:szCs w:val="30"/>
        </w:rPr>
        <w:t>董事会办公室</w:t>
      </w:r>
      <w:r>
        <w:rPr>
          <w:rFonts w:ascii="仿宋_GB2312" w:eastAsia="仿宋_GB2312" w:hAnsi="宋体"/>
          <w:color w:val="auto"/>
          <w:spacing w:val="8"/>
          <w:sz w:val="30"/>
          <w:szCs w:val="30"/>
        </w:rPr>
        <w:t>负责审查。</w:t>
      </w:r>
      <w:r>
        <w:rPr>
          <w:rFonts w:ascii="仿宋_GB2312" w:eastAsia="仿宋_GB2312" w:hAnsi="宋体" w:hint="eastAsia"/>
          <w:color w:val="auto"/>
          <w:spacing w:val="8"/>
          <w:sz w:val="30"/>
          <w:szCs w:val="30"/>
        </w:rPr>
        <w:t>交易发起部门将《关联交易审查申请表》（附件6）及报告等申报材</w:t>
      </w:r>
      <w:r>
        <w:rPr>
          <w:rFonts w:ascii="仿宋_GB2312" w:eastAsia="仿宋_GB2312" w:hAnsi="宋体"/>
          <w:color w:val="auto"/>
          <w:spacing w:val="8"/>
          <w:sz w:val="30"/>
          <w:szCs w:val="30"/>
        </w:rPr>
        <w:t>料</w:t>
      </w:r>
      <w:r>
        <w:rPr>
          <w:rFonts w:ascii="仿宋_GB2312" w:eastAsia="仿宋_GB2312" w:hAnsi="宋体" w:hint="eastAsia"/>
          <w:color w:val="auto"/>
          <w:spacing w:val="8"/>
          <w:sz w:val="30"/>
          <w:szCs w:val="30"/>
        </w:rPr>
        <w:t>报送总行条线管理部门初审。初审</w:t>
      </w:r>
      <w:r>
        <w:rPr>
          <w:rFonts w:ascii="仿宋_GB2312" w:eastAsia="仿宋_GB2312" w:hAnsi="宋体"/>
          <w:color w:val="auto"/>
          <w:spacing w:val="8"/>
          <w:sz w:val="30"/>
          <w:szCs w:val="30"/>
        </w:rPr>
        <w:t>部门负责人</w:t>
      </w:r>
      <w:r>
        <w:rPr>
          <w:rFonts w:ascii="仿宋_GB2312" w:eastAsia="仿宋_GB2312" w:hAnsi="宋体" w:hint="eastAsia"/>
          <w:color w:val="auto"/>
          <w:spacing w:val="8"/>
          <w:sz w:val="30"/>
          <w:szCs w:val="30"/>
        </w:rPr>
        <w:t>签署</w:t>
      </w:r>
      <w:r>
        <w:rPr>
          <w:rFonts w:ascii="仿宋_GB2312" w:eastAsia="仿宋_GB2312" w:hAnsi="宋体"/>
          <w:color w:val="auto"/>
          <w:spacing w:val="8"/>
          <w:sz w:val="30"/>
          <w:szCs w:val="30"/>
        </w:rPr>
        <w:t>意见后，</w:t>
      </w:r>
      <w:r>
        <w:rPr>
          <w:rFonts w:ascii="仿宋_GB2312" w:eastAsia="仿宋_GB2312" w:hAnsi="宋体" w:hint="eastAsia"/>
          <w:color w:val="auto"/>
          <w:spacing w:val="8"/>
          <w:sz w:val="30"/>
          <w:szCs w:val="30"/>
        </w:rPr>
        <w:t>报送总行董事会办公室审查。董事会办公室审查并由部门负责人签署审查意见，</w:t>
      </w:r>
      <w:r>
        <w:rPr>
          <w:rFonts w:ascii="仿宋_GB2312" w:eastAsia="仿宋_GB2312" w:hAnsi="宋体"/>
          <w:color w:val="auto"/>
          <w:spacing w:val="8"/>
          <w:sz w:val="30"/>
          <w:szCs w:val="30"/>
        </w:rPr>
        <w:t>通过</w:t>
      </w:r>
      <w:r>
        <w:rPr>
          <w:rFonts w:ascii="仿宋_GB2312" w:eastAsia="仿宋_GB2312" w:hAnsi="宋体" w:hint="eastAsia"/>
          <w:color w:val="auto"/>
          <w:spacing w:val="8"/>
          <w:sz w:val="30"/>
          <w:szCs w:val="30"/>
        </w:rPr>
        <w:t>后按</w:t>
      </w:r>
      <w:r>
        <w:rPr>
          <w:rFonts w:ascii="仿宋_GB2312" w:eastAsia="仿宋_GB2312" w:hAnsi="宋体"/>
          <w:color w:val="auto"/>
          <w:spacing w:val="8"/>
          <w:sz w:val="30"/>
          <w:szCs w:val="30"/>
        </w:rPr>
        <w:t>规定</w:t>
      </w:r>
      <w:r>
        <w:rPr>
          <w:rFonts w:ascii="仿宋_GB2312" w:eastAsia="仿宋_GB2312" w:hAnsi="宋体" w:hint="eastAsia"/>
          <w:color w:val="auto"/>
          <w:spacing w:val="8"/>
          <w:sz w:val="30"/>
          <w:szCs w:val="30"/>
        </w:rPr>
        <w:t>通知</w:t>
      </w:r>
      <w:r>
        <w:rPr>
          <w:rFonts w:ascii="仿宋_GB2312" w:eastAsia="仿宋_GB2312" w:hAnsi="宋体"/>
          <w:color w:val="auto"/>
          <w:spacing w:val="8"/>
          <w:sz w:val="30"/>
          <w:szCs w:val="30"/>
        </w:rPr>
        <w:t>审批</w:t>
      </w:r>
      <w:r>
        <w:rPr>
          <w:rFonts w:ascii="仿宋_GB2312" w:eastAsia="仿宋_GB2312" w:hAnsi="宋体" w:hint="eastAsia"/>
          <w:color w:val="auto"/>
          <w:spacing w:val="8"/>
          <w:sz w:val="30"/>
          <w:szCs w:val="30"/>
        </w:rPr>
        <w:t>机构下发</w:t>
      </w:r>
      <w:r>
        <w:rPr>
          <w:rFonts w:ascii="仿宋_GB2312" w:eastAsia="仿宋_GB2312" w:hAnsi="宋体"/>
          <w:color w:val="auto"/>
          <w:spacing w:val="8"/>
          <w:sz w:val="30"/>
          <w:szCs w:val="30"/>
        </w:rPr>
        <w:t>业务</w:t>
      </w:r>
      <w:r>
        <w:rPr>
          <w:rFonts w:ascii="仿宋_GB2312" w:eastAsia="仿宋_GB2312" w:hAnsi="宋体" w:hint="eastAsia"/>
          <w:color w:val="auto"/>
          <w:spacing w:val="8"/>
          <w:sz w:val="30"/>
          <w:szCs w:val="30"/>
        </w:rPr>
        <w:t>批复，或者对</w:t>
      </w:r>
      <w:r>
        <w:rPr>
          <w:rFonts w:ascii="仿宋_GB2312" w:eastAsia="仿宋_GB2312" w:hAnsi="宋体"/>
          <w:color w:val="auto"/>
          <w:spacing w:val="8"/>
          <w:sz w:val="30"/>
          <w:szCs w:val="30"/>
        </w:rPr>
        <w:t>关联交易发起</w:t>
      </w:r>
      <w:r>
        <w:rPr>
          <w:rFonts w:ascii="仿宋_GB2312" w:eastAsia="仿宋_GB2312" w:hAnsi="宋体" w:hint="eastAsia"/>
          <w:color w:val="auto"/>
          <w:spacing w:val="8"/>
          <w:sz w:val="30"/>
          <w:szCs w:val="30"/>
        </w:rPr>
        <w:t>后续</w:t>
      </w:r>
      <w:r>
        <w:rPr>
          <w:rFonts w:ascii="仿宋_GB2312" w:eastAsia="仿宋_GB2312" w:hAnsi="宋体"/>
          <w:color w:val="auto"/>
          <w:spacing w:val="8"/>
          <w:sz w:val="30"/>
          <w:szCs w:val="30"/>
        </w:rPr>
        <w:t>审批流程。</w:t>
      </w:r>
    </w:p>
    <w:p w:rsidR="005C402C" w:rsidRDefault="005C402C" w:rsidP="005C402C">
      <w:pPr>
        <w:pStyle w:val="ae"/>
        <w:widowControl w:val="0"/>
        <w:adjustRightInd w:val="0"/>
        <w:snapToGrid w:val="0"/>
        <w:spacing w:before="0" w:after="0" w:line="360" w:lineRule="auto"/>
        <w:ind w:firstLineChars="200" w:firstLine="632"/>
        <w:jc w:val="both"/>
        <w:rPr>
          <w:rFonts w:ascii="仿宋_GB2312" w:eastAsia="仿宋_GB2312" w:hAnsi="宋体"/>
          <w:color w:val="auto"/>
          <w:spacing w:val="8"/>
          <w:sz w:val="30"/>
          <w:szCs w:val="30"/>
        </w:rPr>
      </w:pPr>
      <w:r>
        <w:rPr>
          <w:rFonts w:ascii="仿宋_GB2312" w:eastAsia="仿宋_GB2312" w:hAnsi="宋体" w:hint="eastAsia"/>
          <w:color w:val="auto"/>
          <w:spacing w:val="8"/>
          <w:sz w:val="30"/>
          <w:szCs w:val="30"/>
        </w:rPr>
        <w:t>总行条线</w:t>
      </w:r>
      <w:r>
        <w:rPr>
          <w:rFonts w:ascii="仿宋_GB2312" w:eastAsia="仿宋_GB2312" w:hAnsi="宋体"/>
          <w:color w:val="auto"/>
          <w:spacing w:val="8"/>
          <w:sz w:val="30"/>
          <w:szCs w:val="30"/>
        </w:rPr>
        <w:t>部门初审重点</w:t>
      </w:r>
      <w:r>
        <w:rPr>
          <w:rFonts w:ascii="仿宋_GB2312" w:eastAsia="仿宋_GB2312" w:hAnsi="宋体" w:hint="eastAsia"/>
          <w:color w:val="auto"/>
          <w:spacing w:val="8"/>
          <w:sz w:val="30"/>
          <w:szCs w:val="30"/>
        </w:rPr>
        <w:t>主要</w:t>
      </w:r>
      <w:r>
        <w:rPr>
          <w:rFonts w:ascii="仿宋_GB2312" w:eastAsia="仿宋_GB2312" w:hAnsi="宋体"/>
          <w:color w:val="auto"/>
          <w:spacing w:val="8"/>
          <w:sz w:val="30"/>
          <w:szCs w:val="30"/>
        </w:rPr>
        <w:t>包括：</w:t>
      </w:r>
      <w:r>
        <w:rPr>
          <w:rFonts w:ascii="仿宋_GB2312" w:eastAsia="仿宋_GB2312" w:hAnsi="宋体" w:hint="eastAsia"/>
          <w:color w:val="auto"/>
          <w:spacing w:val="8"/>
          <w:sz w:val="30"/>
          <w:szCs w:val="30"/>
        </w:rPr>
        <w:t>交易对方是否为关联方，该交易是否构成关联交易；交易价格是否符合商业原则，</w:t>
      </w:r>
      <w:r>
        <w:rPr>
          <w:rFonts w:ascii="仿宋_GB2312" w:eastAsia="仿宋_GB2312" w:hAnsi="宋体"/>
          <w:color w:val="auto"/>
          <w:spacing w:val="8"/>
          <w:sz w:val="30"/>
          <w:szCs w:val="30"/>
        </w:rPr>
        <w:t>定价依据是否充分</w:t>
      </w:r>
      <w:r>
        <w:rPr>
          <w:rFonts w:ascii="仿宋_GB2312" w:eastAsia="仿宋_GB2312" w:hAnsi="宋体" w:hint="eastAsia"/>
          <w:color w:val="auto"/>
          <w:spacing w:val="8"/>
          <w:sz w:val="30"/>
          <w:szCs w:val="30"/>
        </w:rPr>
        <w:t>；是否反映</w:t>
      </w:r>
      <w:r>
        <w:rPr>
          <w:rFonts w:ascii="仿宋_GB2312" w:eastAsia="仿宋_GB2312" w:hAnsi="宋体"/>
          <w:color w:val="auto"/>
          <w:spacing w:val="8"/>
          <w:sz w:val="30"/>
          <w:szCs w:val="30"/>
        </w:rPr>
        <w:t>业务风险点并</w:t>
      </w:r>
      <w:r>
        <w:rPr>
          <w:rFonts w:ascii="仿宋_GB2312" w:eastAsia="仿宋_GB2312" w:hAnsi="宋体" w:hint="eastAsia"/>
          <w:color w:val="auto"/>
          <w:spacing w:val="8"/>
          <w:sz w:val="30"/>
          <w:szCs w:val="30"/>
        </w:rPr>
        <w:t>提出</w:t>
      </w:r>
      <w:r>
        <w:rPr>
          <w:rFonts w:ascii="仿宋_GB2312" w:eastAsia="仿宋_GB2312" w:hAnsi="宋体"/>
          <w:color w:val="auto"/>
          <w:spacing w:val="8"/>
          <w:sz w:val="30"/>
          <w:szCs w:val="30"/>
        </w:rPr>
        <w:t>防控措施</w:t>
      </w:r>
      <w:r>
        <w:rPr>
          <w:rFonts w:ascii="仿宋_GB2312" w:eastAsia="仿宋_GB2312" w:hAnsi="宋体" w:hint="eastAsia"/>
          <w:color w:val="auto"/>
          <w:spacing w:val="8"/>
          <w:sz w:val="30"/>
          <w:szCs w:val="30"/>
        </w:rPr>
        <w:t>，并</w:t>
      </w:r>
      <w:r>
        <w:rPr>
          <w:rFonts w:ascii="仿宋_GB2312" w:eastAsia="仿宋_GB2312" w:hAnsi="宋体"/>
          <w:color w:val="auto"/>
          <w:spacing w:val="8"/>
          <w:sz w:val="30"/>
          <w:szCs w:val="30"/>
        </w:rPr>
        <w:t>给出明确的初审意见</w:t>
      </w:r>
      <w:r>
        <w:rPr>
          <w:rFonts w:ascii="仿宋_GB2312" w:eastAsia="仿宋_GB2312" w:hAnsi="宋体" w:hint="eastAsia"/>
          <w:color w:val="auto"/>
          <w:spacing w:val="8"/>
          <w:sz w:val="30"/>
          <w:szCs w:val="30"/>
        </w:rPr>
        <w:t>。</w:t>
      </w:r>
    </w:p>
    <w:p w:rsidR="005C402C" w:rsidRDefault="005C402C" w:rsidP="005C402C">
      <w:pPr>
        <w:pStyle w:val="ae"/>
        <w:widowControl w:val="0"/>
        <w:adjustRightInd w:val="0"/>
        <w:snapToGrid w:val="0"/>
        <w:spacing w:before="0" w:after="0" w:line="360" w:lineRule="auto"/>
        <w:ind w:firstLineChars="200" w:firstLine="632"/>
        <w:jc w:val="both"/>
        <w:rPr>
          <w:rFonts w:ascii="仿宋_GB2312" w:eastAsia="仿宋_GB2312" w:hAnsi="宋体"/>
          <w:color w:val="auto"/>
          <w:spacing w:val="8"/>
          <w:sz w:val="30"/>
          <w:szCs w:val="30"/>
        </w:rPr>
      </w:pPr>
      <w:r>
        <w:rPr>
          <w:rFonts w:ascii="仿宋_GB2312" w:eastAsia="仿宋_GB2312" w:hAnsi="宋体" w:hint="eastAsia"/>
          <w:color w:val="auto"/>
          <w:spacing w:val="8"/>
          <w:sz w:val="30"/>
          <w:szCs w:val="30"/>
        </w:rPr>
        <w:t>授信</w:t>
      </w:r>
      <w:r>
        <w:rPr>
          <w:rFonts w:ascii="仿宋_GB2312" w:eastAsia="仿宋_GB2312" w:hAnsi="宋体"/>
          <w:color w:val="auto"/>
          <w:spacing w:val="8"/>
          <w:sz w:val="30"/>
          <w:szCs w:val="30"/>
        </w:rPr>
        <w:t>审批部、</w:t>
      </w:r>
      <w:r>
        <w:rPr>
          <w:rFonts w:ascii="仿宋_GB2312" w:eastAsia="仿宋_GB2312" w:hAnsi="宋体" w:hint="eastAsia"/>
          <w:color w:val="auto"/>
          <w:spacing w:val="8"/>
          <w:sz w:val="30"/>
          <w:szCs w:val="30"/>
        </w:rPr>
        <w:t>董事会办公室审查重点主要包括：关联方认定是否准确、初审</w:t>
      </w:r>
      <w:r>
        <w:rPr>
          <w:rFonts w:ascii="仿宋_GB2312" w:eastAsia="仿宋_GB2312" w:hAnsi="宋体"/>
          <w:color w:val="auto"/>
          <w:spacing w:val="8"/>
          <w:sz w:val="30"/>
          <w:szCs w:val="30"/>
        </w:rPr>
        <w:t>部门</w:t>
      </w:r>
      <w:r>
        <w:rPr>
          <w:rFonts w:ascii="仿宋_GB2312" w:eastAsia="仿宋_GB2312" w:hAnsi="宋体" w:hint="eastAsia"/>
          <w:color w:val="auto"/>
          <w:spacing w:val="8"/>
          <w:sz w:val="30"/>
          <w:szCs w:val="30"/>
        </w:rPr>
        <w:t>是否</w:t>
      </w:r>
      <w:r>
        <w:rPr>
          <w:rFonts w:ascii="仿宋_GB2312" w:eastAsia="仿宋_GB2312" w:hAnsi="宋体"/>
          <w:color w:val="auto"/>
          <w:spacing w:val="8"/>
          <w:sz w:val="30"/>
          <w:szCs w:val="30"/>
        </w:rPr>
        <w:t>对初审内容给出明确的意见</w:t>
      </w:r>
      <w:r>
        <w:rPr>
          <w:rFonts w:ascii="仿宋_GB2312" w:eastAsia="仿宋_GB2312" w:hAnsi="宋体" w:hint="eastAsia"/>
          <w:color w:val="auto"/>
          <w:spacing w:val="8"/>
          <w:sz w:val="30"/>
          <w:szCs w:val="30"/>
        </w:rPr>
        <w:t>、</w:t>
      </w:r>
      <w:r>
        <w:rPr>
          <w:rFonts w:ascii="仿宋_GB2312" w:eastAsia="仿宋_GB2312" w:hAnsi="宋体"/>
          <w:color w:val="auto"/>
          <w:spacing w:val="8"/>
          <w:sz w:val="30"/>
          <w:szCs w:val="30"/>
        </w:rPr>
        <w:t>本次关联交易相关关联方的授信</w:t>
      </w:r>
      <w:r>
        <w:rPr>
          <w:rFonts w:ascii="仿宋_GB2312" w:eastAsia="仿宋_GB2312" w:hAnsi="宋体" w:hint="eastAsia"/>
          <w:color w:val="auto"/>
          <w:spacing w:val="8"/>
          <w:sz w:val="30"/>
          <w:szCs w:val="30"/>
        </w:rPr>
        <w:t>或</w:t>
      </w:r>
      <w:r>
        <w:rPr>
          <w:rFonts w:ascii="仿宋_GB2312" w:eastAsia="仿宋_GB2312" w:hAnsi="宋体"/>
          <w:color w:val="auto"/>
          <w:spacing w:val="8"/>
          <w:sz w:val="30"/>
          <w:szCs w:val="30"/>
        </w:rPr>
        <w:t>交易额度</w:t>
      </w:r>
      <w:r>
        <w:rPr>
          <w:rFonts w:ascii="仿宋_GB2312" w:eastAsia="仿宋_GB2312" w:hAnsi="宋体" w:hint="eastAsia"/>
          <w:color w:val="auto"/>
          <w:spacing w:val="8"/>
          <w:sz w:val="30"/>
          <w:szCs w:val="30"/>
        </w:rPr>
        <w:t>等。董事会办公室对</w:t>
      </w:r>
      <w:r>
        <w:rPr>
          <w:rFonts w:ascii="仿宋_GB2312" w:eastAsia="仿宋_GB2312" w:hAnsi="宋体" w:hint="eastAsia"/>
          <w:color w:val="auto"/>
          <w:sz w:val="30"/>
          <w:szCs w:val="30"/>
        </w:rPr>
        <w:t>关联方限额进行</w:t>
      </w:r>
      <w:r>
        <w:rPr>
          <w:rFonts w:ascii="仿宋_GB2312" w:eastAsia="仿宋_GB2312" w:hAnsi="宋体"/>
          <w:color w:val="auto"/>
          <w:sz w:val="30"/>
          <w:szCs w:val="30"/>
        </w:rPr>
        <w:t>审查</w:t>
      </w:r>
      <w:r>
        <w:rPr>
          <w:rFonts w:ascii="仿宋_GB2312" w:eastAsia="仿宋_GB2312" w:hAnsi="宋体" w:hint="eastAsia"/>
          <w:color w:val="auto"/>
          <w:sz w:val="30"/>
          <w:szCs w:val="30"/>
        </w:rPr>
        <w:t>，</w:t>
      </w:r>
      <w:r>
        <w:rPr>
          <w:rFonts w:ascii="仿宋_GB2312" w:eastAsia="仿宋_GB2312" w:hAnsi="宋体"/>
          <w:color w:val="auto"/>
          <w:sz w:val="30"/>
          <w:szCs w:val="30"/>
        </w:rPr>
        <w:t>明确</w:t>
      </w:r>
      <w:r>
        <w:rPr>
          <w:rFonts w:ascii="仿宋_GB2312" w:eastAsia="仿宋_GB2312" w:hAnsi="宋体" w:hint="eastAsia"/>
          <w:color w:val="auto"/>
          <w:spacing w:val="8"/>
          <w:sz w:val="30"/>
          <w:szCs w:val="30"/>
        </w:rPr>
        <w:t>关联交易的性质和</w:t>
      </w:r>
      <w:r>
        <w:rPr>
          <w:rFonts w:ascii="仿宋_GB2312" w:eastAsia="仿宋_GB2312" w:hAnsi="宋体"/>
          <w:color w:val="auto"/>
          <w:spacing w:val="8"/>
          <w:sz w:val="30"/>
          <w:szCs w:val="30"/>
        </w:rPr>
        <w:t>类型</w:t>
      </w:r>
      <w:r>
        <w:rPr>
          <w:rFonts w:ascii="仿宋_GB2312" w:eastAsia="仿宋_GB2312" w:hAnsi="宋体" w:hint="eastAsia"/>
          <w:color w:val="auto"/>
          <w:spacing w:val="8"/>
          <w:sz w:val="30"/>
          <w:szCs w:val="30"/>
        </w:rPr>
        <w:t>。</w:t>
      </w:r>
    </w:p>
    <w:p w:rsidR="005C402C" w:rsidRDefault="005C402C" w:rsidP="005C402C">
      <w:pPr>
        <w:pStyle w:val="ae"/>
        <w:widowControl w:val="0"/>
        <w:tabs>
          <w:tab w:val="left" w:pos="2807"/>
        </w:tabs>
        <w:adjustRightInd w:val="0"/>
        <w:snapToGrid w:val="0"/>
        <w:spacing w:before="0" w:after="0" w:line="360" w:lineRule="auto"/>
        <w:ind w:firstLineChars="200" w:firstLine="634"/>
        <w:jc w:val="both"/>
        <w:rPr>
          <w:rFonts w:ascii="仿宋_GB2312" w:eastAsia="仿宋_GB2312" w:hAnsi="宋体"/>
          <w:color w:val="auto"/>
          <w:spacing w:val="8"/>
          <w:sz w:val="30"/>
          <w:szCs w:val="30"/>
        </w:rPr>
      </w:pPr>
      <w:r>
        <w:rPr>
          <w:rFonts w:ascii="仿宋_GB2312" w:eastAsia="仿宋_GB2312" w:hAnsi="宋体" w:hint="eastAsia"/>
          <w:b/>
          <w:color w:val="auto"/>
          <w:spacing w:val="8"/>
          <w:sz w:val="30"/>
          <w:szCs w:val="30"/>
        </w:rPr>
        <w:t>第二十九</w:t>
      </w:r>
      <w:r>
        <w:rPr>
          <w:rFonts w:ascii="仿宋_GB2312" w:eastAsia="仿宋_GB2312" w:hAnsi="宋体"/>
          <w:b/>
          <w:color w:val="auto"/>
          <w:spacing w:val="8"/>
          <w:sz w:val="30"/>
          <w:szCs w:val="30"/>
        </w:rPr>
        <w:t>条</w:t>
      </w:r>
      <w:r>
        <w:rPr>
          <w:rFonts w:ascii="仿宋_GB2312" w:eastAsia="仿宋_GB2312" w:hAnsi="宋体" w:hint="eastAsia"/>
          <w:color w:val="auto"/>
          <w:spacing w:val="8"/>
          <w:sz w:val="30"/>
          <w:szCs w:val="30"/>
        </w:rPr>
        <w:t xml:space="preserve">  分级</w:t>
      </w:r>
      <w:r>
        <w:rPr>
          <w:rFonts w:ascii="仿宋_GB2312" w:eastAsia="仿宋_GB2312" w:hAnsi="宋体"/>
          <w:color w:val="auto"/>
          <w:spacing w:val="8"/>
          <w:sz w:val="30"/>
          <w:szCs w:val="30"/>
        </w:rPr>
        <w:t>审批。</w:t>
      </w:r>
    </w:p>
    <w:p w:rsidR="005C402C" w:rsidRDefault="005C402C" w:rsidP="005C402C">
      <w:pPr>
        <w:adjustRightInd w:val="0"/>
        <w:snapToGrid w:val="0"/>
        <w:spacing w:line="360" w:lineRule="auto"/>
        <w:ind w:firstLineChars="229" w:firstLine="687"/>
        <w:rPr>
          <w:rFonts w:ascii="仿宋_GB2312" w:eastAsia="仿宋_GB2312" w:hAnsi="宋体"/>
          <w:sz w:val="30"/>
          <w:szCs w:val="30"/>
        </w:rPr>
      </w:pPr>
      <w:r>
        <w:rPr>
          <w:rFonts w:ascii="仿宋_GB2312" w:eastAsia="仿宋_GB2312" w:hAnsi="宋体" w:hint="eastAsia"/>
          <w:sz w:val="30"/>
          <w:szCs w:val="30"/>
        </w:rPr>
        <w:t>（一）一般关联交易（参见</w:t>
      </w:r>
      <w:r>
        <w:rPr>
          <w:rFonts w:ascii="仿宋_GB2312" w:eastAsia="仿宋_GB2312" w:hAnsi="宋体"/>
          <w:sz w:val="30"/>
          <w:szCs w:val="30"/>
        </w:rPr>
        <w:t>本办法第二十</w:t>
      </w:r>
      <w:r>
        <w:rPr>
          <w:rFonts w:ascii="仿宋_GB2312" w:eastAsia="仿宋_GB2312" w:hAnsi="宋体" w:hint="eastAsia"/>
          <w:sz w:val="30"/>
          <w:szCs w:val="30"/>
        </w:rPr>
        <w:t>一</w:t>
      </w:r>
      <w:r>
        <w:rPr>
          <w:rFonts w:ascii="仿宋_GB2312" w:eastAsia="仿宋_GB2312" w:hAnsi="宋体"/>
          <w:sz w:val="30"/>
          <w:szCs w:val="30"/>
        </w:rPr>
        <w:t>条第</w:t>
      </w:r>
      <w:r>
        <w:rPr>
          <w:rFonts w:ascii="仿宋_GB2312" w:eastAsia="仿宋_GB2312" w:hAnsi="宋体" w:hint="eastAsia"/>
          <w:sz w:val="30"/>
          <w:szCs w:val="30"/>
        </w:rPr>
        <w:t>（</w:t>
      </w:r>
      <w:r>
        <w:rPr>
          <w:rFonts w:ascii="仿宋_GB2312" w:eastAsia="仿宋_GB2312" w:hAnsi="宋体"/>
          <w:sz w:val="30"/>
          <w:szCs w:val="30"/>
        </w:rPr>
        <w:t>一</w:t>
      </w:r>
      <w:r>
        <w:rPr>
          <w:rFonts w:ascii="仿宋_GB2312" w:eastAsia="仿宋_GB2312" w:hAnsi="宋体" w:hint="eastAsia"/>
          <w:sz w:val="30"/>
          <w:szCs w:val="30"/>
        </w:rPr>
        <w:t>）</w:t>
      </w:r>
      <w:r>
        <w:rPr>
          <w:rFonts w:ascii="仿宋_GB2312" w:eastAsia="仿宋_GB2312" w:hAnsi="宋体"/>
          <w:sz w:val="30"/>
          <w:szCs w:val="30"/>
        </w:rPr>
        <w:t>款</w:t>
      </w:r>
      <w:r>
        <w:rPr>
          <w:rFonts w:ascii="仿宋_GB2312" w:eastAsia="仿宋_GB2312" w:hAnsi="宋体" w:hint="eastAsia"/>
          <w:sz w:val="30"/>
          <w:szCs w:val="30"/>
        </w:rPr>
        <w:t>）按照</w:t>
      </w:r>
      <w:r>
        <w:rPr>
          <w:rFonts w:ascii="仿宋_GB2312" w:eastAsia="仿宋_GB2312" w:hAnsi="宋体"/>
          <w:sz w:val="30"/>
          <w:szCs w:val="30"/>
        </w:rPr>
        <w:t>交易所属</w:t>
      </w:r>
      <w:r>
        <w:rPr>
          <w:rFonts w:ascii="仿宋_GB2312" w:eastAsia="仿宋_GB2312" w:hAnsi="宋体" w:hint="eastAsia"/>
          <w:sz w:val="30"/>
          <w:szCs w:val="30"/>
        </w:rPr>
        <w:t>业务</w:t>
      </w:r>
      <w:r>
        <w:rPr>
          <w:rFonts w:ascii="仿宋_GB2312" w:eastAsia="仿宋_GB2312" w:hAnsi="宋体"/>
          <w:sz w:val="30"/>
          <w:szCs w:val="30"/>
        </w:rPr>
        <w:t>的授权进行审批。</w:t>
      </w:r>
      <w:r>
        <w:rPr>
          <w:rFonts w:ascii="仿宋_GB2312" w:eastAsia="仿宋_GB2312" w:hAnsi="宋体" w:hint="eastAsia"/>
          <w:sz w:val="30"/>
          <w:szCs w:val="30"/>
        </w:rPr>
        <w:t>业务</w:t>
      </w:r>
      <w:r>
        <w:rPr>
          <w:rFonts w:ascii="仿宋_GB2312" w:eastAsia="仿宋_GB2312" w:hAnsi="宋体"/>
          <w:sz w:val="30"/>
          <w:szCs w:val="30"/>
        </w:rPr>
        <w:t>审批通过后，</w:t>
      </w:r>
      <w:r>
        <w:rPr>
          <w:rFonts w:ascii="仿宋_GB2312" w:eastAsia="仿宋_GB2312" w:hAnsi="宋体" w:hint="eastAsia"/>
          <w:sz w:val="30"/>
          <w:szCs w:val="30"/>
        </w:rPr>
        <w:t>按</w:t>
      </w:r>
      <w:r>
        <w:rPr>
          <w:rFonts w:ascii="仿宋_GB2312" w:eastAsia="仿宋_GB2312" w:hAnsi="宋体"/>
          <w:sz w:val="30"/>
          <w:szCs w:val="30"/>
        </w:rPr>
        <w:t>本办法第</w:t>
      </w:r>
      <w:r>
        <w:rPr>
          <w:rFonts w:ascii="仿宋_GB2312" w:eastAsia="仿宋_GB2312" w:hAnsi="宋体" w:hint="eastAsia"/>
          <w:sz w:val="30"/>
          <w:szCs w:val="30"/>
        </w:rPr>
        <w:t>二十八</w:t>
      </w:r>
      <w:r>
        <w:rPr>
          <w:rFonts w:ascii="仿宋_GB2312" w:eastAsia="仿宋_GB2312" w:hAnsi="宋体"/>
          <w:sz w:val="30"/>
          <w:szCs w:val="30"/>
        </w:rPr>
        <w:t>条进行</w:t>
      </w:r>
      <w:r>
        <w:rPr>
          <w:rFonts w:ascii="仿宋_GB2312" w:eastAsia="仿宋_GB2312" w:hAnsi="宋体" w:hint="eastAsia"/>
          <w:sz w:val="30"/>
          <w:szCs w:val="30"/>
        </w:rPr>
        <w:t>关联</w:t>
      </w:r>
      <w:r>
        <w:rPr>
          <w:rFonts w:ascii="仿宋_GB2312" w:eastAsia="仿宋_GB2312" w:hAnsi="宋体"/>
          <w:sz w:val="30"/>
          <w:szCs w:val="30"/>
        </w:rPr>
        <w:t>交易</w:t>
      </w:r>
      <w:r>
        <w:rPr>
          <w:rFonts w:ascii="仿宋_GB2312" w:eastAsia="仿宋_GB2312" w:hAnsi="宋体" w:hint="eastAsia"/>
          <w:sz w:val="30"/>
          <w:szCs w:val="30"/>
        </w:rPr>
        <w:t>审查</w:t>
      </w:r>
      <w:r>
        <w:rPr>
          <w:rFonts w:ascii="仿宋_GB2312" w:eastAsia="仿宋_GB2312" w:hAnsi="宋体"/>
          <w:sz w:val="30"/>
          <w:szCs w:val="30"/>
        </w:rPr>
        <w:t>。</w:t>
      </w:r>
      <w:r>
        <w:rPr>
          <w:rFonts w:ascii="仿宋_GB2312" w:eastAsia="仿宋_GB2312" w:hAnsi="宋体" w:hint="eastAsia"/>
          <w:sz w:val="30"/>
          <w:szCs w:val="30"/>
        </w:rPr>
        <w:t>关联交易</w:t>
      </w:r>
      <w:r>
        <w:rPr>
          <w:rFonts w:ascii="仿宋_GB2312" w:eastAsia="仿宋_GB2312" w:hAnsi="宋体"/>
          <w:sz w:val="30"/>
          <w:szCs w:val="30"/>
        </w:rPr>
        <w:t>审查通过</w:t>
      </w:r>
      <w:r>
        <w:rPr>
          <w:rFonts w:ascii="仿宋_GB2312" w:eastAsia="仿宋_GB2312" w:hAnsi="宋体" w:hint="eastAsia"/>
          <w:sz w:val="30"/>
          <w:szCs w:val="30"/>
        </w:rPr>
        <w:t>的</w:t>
      </w:r>
      <w:r>
        <w:rPr>
          <w:rFonts w:ascii="仿宋_GB2312" w:eastAsia="仿宋_GB2312" w:hAnsi="宋体"/>
          <w:sz w:val="30"/>
          <w:szCs w:val="30"/>
        </w:rPr>
        <w:t>，在</w:t>
      </w:r>
      <w:r>
        <w:rPr>
          <w:rFonts w:ascii="仿宋_GB2312" w:eastAsia="仿宋_GB2312" w:hAnsi="宋体" w:hint="eastAsia"/>
          <w:sz w:val="30"/>
          <w:szCs w:val="30"/>
        </w:rPr>
        <w:t>业务批复下发后由董事会办公室报关联交易控制委员会备案。</w:t>
      </w:r>
    </w:p>
    <w:p w:rsidR="005C402C" w:rsidRDefault="005C402C" w:rsidP="005C402C">
      <w:pPr>
        <w:adjustRightInd w:val="0"/>
        <w:snapToGrid w:val="0"/>
        <w:spacing w:line="360" w:lineRule="auto"/>
        <w:ind w:firstLineChars="229" w:firstLine="687"/>
        <w:rPr>
          <w:rFonts w:ascii="仿宋_GB2312" w:eastAsia="仿宋_GB2312" w:hAnsi="宋体"/>
          <w:sz w:val="30"/>
          <w:szCs w:val="30"/>
        </w:rPr>
      </w:pPr>
      <w:r>
        <w:rPr>
          <w:rFonts w:ascii="仿宋_GB2312" w:eastAsia="仿宋_GB2312" w:hAnsi="宋体" w:hint="eastAsia"/>
          <w:sz w:val="30"/>
          <w:szCs w:val="30"/>
        </w:rPr>
        <w:lastRenderedPageBreak/>
        <w:t>（二）重大关联交易（参见</w:t>
      </w:r>
      <w:r>
        <w:rPr>
          <w:rFonts w:ascii="仿宋_GB2312" w:eastAsia="仿宋_GB2312" w:hAnsi="宋体"/>
          <w:sz w:val="30"/>
          <w:szCs w:val="30"/>
        </w:rPr>
        <w:t>本办法第二十</w:t>
      </w:r>
      <w:r>
        <w:rPr>
          <w:rFonts w:ascii="仿宋_GB2312" w:eastAsia="仿宋_GB2312" w:hAnsi="宋体" w:hint="eastAsia"/>
          <w:sz w:val="30"/>
          <w:szCs w:val="30"/>
        </w:rPr>
        <w:t>一</w:t>
      </w:r>
      <w:r>
        <w:rPr>
          <w:rFonts w:ascii="仿宋_GB2312" w:eastAsia="仿宋_GB2312" w:hAnsi="宋体"/>
          <w:sz w:val="30"/>
          <w:szCs w:val="30"/>
        </w:rPr>
        <w:t>条第</w:t>
      </w:r>
      <w:r>
        <w:rPr>
          <w:rFonts w:ascii="仿宋_GB2312" w:eastAsia="仿宋_GB2312" w:hAnsi="宋体" w:hint="eastAsia"/>
          <w:sz w:val="30"/>
          <w:szCs w:val="30"/>
        </w:rPr>
        <w:t>（</w:t>
      </w:r>
      <w:r>
        <w:rPr>
          <w:rFonts w:ascii="仿宋_GB2312" w:eastAsia="仿宋_GB2312" w:hAnsi="宋体"/>
          <w:sz w:val="30"/>
          <w:szCs w:val="30"/>
        </w:rPr>
        <w:t>一</w:t>
      </w:r>
      <w:r>
        <w:rPr>
          <w:rFonts w:ascii="仿宋_GB2312" w:eastAsia="仿宋_GB2312" w:hAnsi="宋体" w:hint="eastAsia"/>
          <w:sz w:val="30"/>
          <w:szCs w:val="30"/>
        </w:rPr>
        <w:t>）</w:t>
      </w:r>
      <w:r>
        <w:rPr>
          <w:rFonts w:ascii="仿宋_GB2312" w:eastAsia="仿宋_GB2312" w:hAnsi="宋体"/>
          <w:sz w:val="30"/>
          <w:szCs w:val="30"/>
        </w:rPr>
        <w:t>款</w:t>
      </w:r>
      <w:r>
        <w:rPr>
          <w:rFonts w:ascii="仿宋_GB2312" w:eastAsia="仿宋_GB2312" w:hAnsi="宋体" w:hint="eastAsia"/>
          <w:sz w:val="30"/>
          <w:szCs w:val="30"/>
        </w:rPr>
        <w:t>）按</w:t>
      </w:r>
      <w:r>
        <w:rPr>
          <w:rFonts w:ascii="仿宋_GB2312" w:eastAsia="仿宋_GB2312" w:hAnsi="宋体"/>
          <w:sz w:val="30"/>
          <w:szCs w:val="30"/>
        </w:rPr>
        <w:t>本办法第</w:t>
      </w:r>
      <w:r>
        <w:rPr>
          <w:rFonts w:ascii="仿宋_GB2312" w:eastAsia="仿宋_GB2312" w:hAnsi="宋体" w:hint="eastAsia"/>
          <w:sz w:val="30"/>
          <w:szCs w:val="30"/>
        </w:rPr>
        <w:t>二十八</w:t>
      </w:r>
      <w:r>
        <w:rPr>
          <w:rFonts w:ascii="仿宋_GB2312" w:eastAsia="仿宋_GB2312" w:hAnsi="宋体"/>
          <w:sz w:val="30"/>
          <w:szCs w:val="30"/>
        </w:rPr>
        <w:t>条进行</w:t>
      </w:r>
      <w:r>
        <w:rPr>
          <w:rFonts w:ascii="仿宋_GB2312" w:eastAsia="仿宋_GB2312" w:hAnsi="宋体" w:hint="eastAsia"/>
          <w:sz w:val="30"/>
          <w:szCs w:val="30"/>
        </w:rPr>
        <w:t>关联</w:t>
      </w:r>
      <w:r>
        <w:rPr>
          <w:rFonts w:ascii="仿宋_GB2312" w:eastAsia="仿宋_GB2312" w:hAnsi="宋体"/>
          <w:sz w:val="30"/>
          <w:szCs w:val="30"/>
        </w:rPr>
        <w:t>交易</w:t>
      </w:r>
      <w:r>
        <w:rPr>
          <w:rFonts w:ascii="仿宋_GB2312" w:eastAsia="仿宋_GB2312" w:hAnsi="宋体" w:hint="eastAsia"/>
          <w:sz w:val="30"/>
          <w:szCs w:val="30"/>
        </w:rPr>
        <w:t>审查后</w:t>
      </w:r>
      <w:r>
        <w:rPr>
          <w:rFonts w:ascii="仿宋_GB2312" w:eastAsia="仿宋_GB2312" w:hAnsi="宋体"/>
          <w:sz w:val="30"/>
          <w:szCs w:val="30"/>
        </w:rPr>
        <w:t>，</w:t>
      </w:r>
      <w:r>
        <w:rPr>
          <w:rFonts w:ascii="仿宋_GB2312" w:eastAsia="仿宋_GB2312" w:hAnsi="宋体" w:hint="eastAsia"/>
          <w:sz w:val="30"/>
          <w:szCs w:val="30"/>
        </w:rPr>
        <w:t>由董事会办公室报</w:t>
      </w:r>
      <w:r>
        <w:rPr>
          <w:rFonts w:ascii="仿宋_GB2312" w:eastAsia="仿宋_GB2312" w:hAnsi="宋体"/>
          <w:sz w:val="30"/>
          <w:szCs w:val="30"/>
        </w:rPr>
        <w:t>关联交易</w:t>
      </w:r>
      <w:r>
        <w:rPr>
          <w:rFonts w:ascii="仿宋_GB2312" w:eastAsia="仿宋_GB2312" w:hAnsi="宋体" w:hint="eastAsia"/>
          <w:sz w:val="30"/>
          <w:szCs w:val="30"/>
        </w:rPr>
        <w:t>控制</w:t>
      </w:r>
      <w:r>
        <w:rPr>
          <w:rFonts w:ascii="仿宋_GB2312" w:eastAsia="仿宋_GB2312" w:hAnsi="宋体"/>
          <w:sz w:val="30"/>
          <w:szCs w:val="30"/>
        </w:rPr>
        <w:t>委员会</w:t>
      </w:r>
      <w:r>
        <w:rPr>
          <w:rFonts w:ascii="仿宋_GB2312" w:eastAsia="仿宋_GB2312" w:hAnsi="宋体" w:hint="eastAsia"/>
          <w:sz w:val="30"/>
          <w:szCs w:val="30"/>
        </w:rPr>
        <w:t>审议后</w:t>
      </w:r>
      <w:r>
        <w:rPr>
          <w:rFonts w:ascii="仿宋_GB2312" w:eastAsia="仿宋_GB2312" w:hAnsi="宋体"/>
          <w:sz w:val="30"/>
          <w:szCs w:val="30"/>
        </w:rPr>
        <w:t>，报董事会进行最终审批</w:t>
      </w:r>
      <w:r>
        <w:rPr>
          <w:rFonts w:ascii="仿宋_GB2312" w:eastAsia="仿宋_GB2312" w:hAnsi="宋体" w:hint="eastAsia"/>
          <w:sz w:val="30"/>
          <w:szCs w:val="30"/>
        </w:rPr>
        <w:t>。</w:t>
      </w:r>
    </w:p>
    <w:p w:rsidR="005C402C" w:rsidRDefault="005C402C" w:rsidP="005C402C">
      <w:pPr>
        <w:adjustRightInd w:val="0"/>
        <w:snapToGrid w:val="0"/>
        <w:spacing w:line="360" w:lineRule="auto"/>
        <w:ind w:firstLineChars="229" w:firstLine="687"/>
        <w:rPr>
          <w:rFonts w:ascii="仿宋_GB2312" w:eastAsia="仿宋_GB2312" w:hAnsi="宋体"/>
          <w:sz w:val="30"/>
          <w:szCs w:val="30"/>
        </w:rPr>
      </w:pPr>
      <w:r>
        <w:rPr>
          <w:rFonts w:ascii="仿宋_GB2312" w:eastAsia="仿宋_GB2312" w:hAnsi="宋体" w:hint="eastAsia"/>
          <w:sz w:val="30"/>
          <w:szCs w:val="30"/>
        </w:rPr>
        <w:t>（三）下列关联交易应当经董事会审议通过后提交股东大会审议：</w:t>
      </w:r>
    </w:p>
    <w:p w:rsidR="005C402C" w:rsidRDefault="005C402C" w:rsidP="005C402C">
      <w:pPr>
        <w:adjustRightInd w:val="0"/>
        <w:snapToGrid w:val="0"/>
        <w:spacing w:line="360" w:lineRule="auto"/>
        <w:ind w:firstLineChars="229" w:firstLine="687"/>
        <w:rPr>
          <w:rFonts w:ascii="仿宋_GB2312" w:eastAsia="仿宋_GB2312" w:hAnsi="宋体"/>
          <w:sz w:val="30"/>
          <w:szCs w:val="30"/>
        </w:rPr>
      </w:pPr>
      <w:r>
        <w:rPr>
          <w:rFonts w:ascii="仿宋_GB2312" w:eastAsia="仿宋_GB2312" w:hAnsi="宋体" w:hint="eastAsia"/>
          <w:sz w:val="30"/>
          <w:szCs w:val="30"/>
        </w:rPr>
        <w:t>1.交易（本行提供担保、受赠现金资产、单纯减免本行义务的债务除外）金额在3000万元（含）以上,且占本行最近一期经审计净资产绝对值5％（含）以上的关联交易。</w:t>
      </w:r>
    </w:p>
    <w:p w:rsidR="005C402C" w:rsidRDefault="005C402C" w:rsidP="005C402C">
      <w:pPr>
        <w:adjustRightInd w:val="0"/>
        <w:snapToGrid w:val="0"/>
        <w:spacing w:line="360" w:lineRule="auto"/>
        <w:ind w:firstLineChars="229" w:firstLine="687"/>
        <w:rPr>
          <w:rFonts w:ascii="仿宋_GB2312" w:eastAsia="仿宋_GB2312" w:hAnsi="宋体"/>
          <w:sz w:val="30"/>
          <w:szCs w:val="30"/>
        </w:rPr>
      </w:pPr>
      <w:r>
        <w:rPr>
          <w:rFonts w:ascii="仿宋_GB2312" w:eastAsia="仿宋_GB2312" w:hAnsi="宋体"/>
          <w:sz w:val="30"/>
          <w:szCs w:val="30"/>
        </w:rPr>
        <w:t>2.</w:t>
      </w:r>
      <w:r>
        <w:rPr>
          <w:rFonts w:ascii="仿宋_GB2312" w:eastAsia="仿宋_GB2312" w:hAnsi="宋体" w:hint="eastAsia"/>
          <w:sz w:val="30"/>
          <w:szCs w:val="30"/>
        </w:rPr>
        <w:t>为关联方提供非商业银行业务担保事项（不论金额大小）的关联交易。</w:t>
      </w:r>
    </w:p>
    <w:p w:rsidR="005C402C" w:rsidRDefault="005C402C" w:rsidP="005C402C">
      <w:pPr>
        <w:adjustRightInd w:val="0"/>
        <w:snapToGrid w:val="0"/>
        <w:spacing w:line="360" w:lineRule="auto"/>
        <w:ind w:firstLineChars="229" w:firstLine="687"/>
        <w:rPr>
          <w:rFonts w:ascii="仿宋_GB2312" w:eastAsia="仿宋_GB2312" w:hAnsi="宋体"/>
          <w:sz w:val="30"/>
          <w:szCs w:val="30"/>
        </w:rPr>
      </w:pPr>
      <w:r>
        <w:rPr>
          <w:rFonts w:ascii="仿宋_GB2312" w:eastAsia="仿宋_GB2312" w:hAnsi="宋体"/>
          <w:sz w:val="30"/>
          <w:szCs w:val="30"/>
        </w:rPr>
        <w:t>3.</w:t>
      </w:r>
      <w:r>
        <w:rPr>
          <w:rFonts w:hint="eastAsia"/>
        </w:rPr>
        <w:t xml:space="preserve"> </w:t>
      </w:r>
      <w:r>
        <w:rPr>
          <w:rFonts w:ascii="仿宋_GB2312" w:eastAsia="仿宋_GB2312" w:hAnsi="宋体" w:hint="eastAsia"/>
          <w:sz w:val="30"/>
          <w:szCs w:val="30"/>
        </w:rPr>
        <w:t>其他由法律、行政法规、部门规章、监管机构、本行股票上市的证券交易所和本行章程规定的应当由股东大会审议的关联交易。</w:t>
      </w:r>
    </w:p>
    <w:p w:rsidR="005C402C" w:rsidRDefault="005C402C" w:rsidP="005C402C">
      <w:pPr>
        <w:adjustRightInd w:val="0"/>
        <w:snapToGrid w:val="0"/>
        <w:spacing w:line="360" w:lineRule="auto"/>
        <w:ind w:firstLineChars="229" w:firstLine="687"/>
        <w:rPr>
          <w:rFonts w:ascii="仿宋_GB2312" w:eastAsia="仿宋_GB2312" w:hAnsi="宋体"/>
          <w:sz w:val="30"/>
          <w:szCs w:val="30"/>
        </w:rPr>
      </w:pPr>
      <w:r>
        <w:rPr>
          <w:rFonts w:ascii="仿宋_GB2312" w:eastAsia="仿宋_GB2312" w:hAnsi="宋体" w:hint="eastAsia"/>
          <w:sz w:val="30"/>
          <w:szCs w:val="30"/>
        </w:rPr>
        <w:t>关联交易提交董事会、股东大会等</w:t>
      </w:r>
      <w:r>
        <w:rPr>
          <w:rFonts w:ascii="仿宋_GB2312" w:eastAsia="仿宋_GB2312" w:hAnsi="宋体"/>
          <w:sz w:val="30"/>
          <w:szCs w:val="30"/>
        </w:rPr>
        <w:t>会议</w:t>
      </w:r>
      <w:r>
        <w:rPr>
          <w:rFonts w:ascii="仿宋_GB2312" w:eastAsia="仿宋_GB2312" w:hAnsi="宋体" w:hint="eastAsia"/>
          <w:sz w:val="30"/>
          <w:szCs w:val="30"/>
        </w:rPr>
        <w:t>审议时，董事办公室可</w:t>
      </w:r>
      <w:r>
        <w:rPr>
          <w:rFonts w:ascii="仿宋_GB2312" w:eastAsia="仿宋_GB2312" w:hAnsi="宋体"/>
          <w:sz w:val="30"/>
          <w:szCs w:val="30"/>
        </w:rPr>
        <w:t>会同</w:t>
      </w:r>
      <w:r>
        <w:rPr>
          <w:rFonts w:ascii="仿宋_GB2312" w:eastAsia="仿宋_GB2312" w:hAnsi="宋体" w:hint="eastAsia"/>
          <w:sz w:val="30"/>
          <w:szCs w:val="30"/>
        </w:rPr>
        <w:t>总行条线管理部门共同汇报。</w:t>
      </w:r>
    </w:p>
    <w:p w:rsidR="005C402C" w:rsidRDefault="005C402C" w:rsidP="005C402C">
      <w:pPr>
        <w:adjustRightInd w:val="0"/>
        <w:snapToGrid w:val="0"/>
        <w:spacing w:line="360" w:lineRule="auto"/>
        <w:ind w:firstLineChars="229" w:firstLine="690"/>
        <w:rPr>
          <w:rFonts w:ascii="仿宋_GB2312" w:eastAsia="仿宋_GB2312" w:hAnsi="宋体"/>
          <w:sz w:val="30"/>
          <w:szCs w:val="30"/>
        </w:rPr>
      </w:pPr>
      <w:r>
        <w:rPr>
          <w:rFonts w:ascii="仿宋_GB2312" w:eastAsia="仿宋_GB2312" w:hAnsi="宋体" w:hint="eastAsia"/>
          <w:b/>
          <w:bCs/>
          <w:sz w:val="30"/>
          <w:szCs w:val="30"/>
        </w:rPr>
        <w:t>第三十</w:t>
      </w:r>
      <w:r>
        <w:rPr>
          <w:rFonts w:ascii="仿宋_GB2312" w:eastAsia="仿宋_GB2312" w:hAnsi="宋体"/>
          <w:b/>
          <w:bCs/>
          <w:sz w:val="30"/>
          <w:szCs w:val="30"/>
        </w:rPr>
        <w:t>条</w:t>
      </w:r>
      <w:r>
        <w:rPr>
          <w:rFonts w:ascii="仿宋_GB2312" w:eastAsia="仿宋_GB2312" w:hAnsi="宋体" w:hint="eastAsia"/>
          <w:sz w:val="30"/>
          <w:szCs w:val="30"/>
        </w:rPr>
        <w:t xml:space="preserve">  依据《香港联合交易所有限公司证券上市规则》认定的关联方，其关联交易未完全豁免并需独立股东审批的，在按照本行相关规定初审后，由初审部门提交董事会办公室，并由董事会办公室报关联交易控制委员会审查，报董事会进行审核后，召开股东大会审议，由独立股东审批。</w:t>
      </w:r>
    </w:p>
    <w:p w:rsidR="005C402C" w:rsidRDefault="005C402C" w:rsidP="005C402C">
      <w:pPr>
        <w:adjustRightInd w:val="0"/>
        <w:snapToGrid w:val="0"/>
        <w:spacing w:line="360" w:lineRule="auto"/>
        <w:ind w:firstLineChars="200" w:firstLine="602"/>
        <w:rPr>
          <w:rFonts w:ascii="仿宋_GB2312" w:eastAsia="仿宋_GB2312" w:hAnsi="宋体"/>
          <w:b/>
          <w:bCs/>
          <w:sz w:val="30"/>
          <w:szCs w:val="30"/>
        </w:rPr>
      </w:pPr>
      <w:r>
        <w:rPr>
          <w:rFonts w:ascii="仿宋_GB2312" w:eastAsia="仿宋_GB2312" w:hAnsi="宋体" w:hint="eastAsia"/>
          <w:b/>
          <w:bCs/>
          <w:sz w:val="30"/>
          <w:szCs w:val="30"/>
        </w:rPr>
        <w:t xml:space="preserve">第三十一条 </w:t>
      </w:r>
      <w:r>
        <w:rPr>
          <w:rFonts w:ascii="仿宋_GB2312" w:eastAsia="仿宋_GB2312" w:hAnsi="宋体"/>
          <w:b/>
          <w:bCs/>
          <w:sz w:val="30"/>
          <w:szCs w:val="30"/>
        </w:rPr>
        <w:t xml:space="preserve"> </w:t>
      </w:r>
      <w:r>
        <w:rPr>
          <w:rFonts w:ascii="仿宋_GB2312" w:eastAsia="仿宋_GB2312" w:hAnsi="宋体" w:hint="eastAsia"/>
          <w:sz w:val="30"/>
          <w:szCs w:val="30"/>
        </w:rPr>
        <w:t>仅属上交所口径下本行关联交易且未达到上交所规定的应予及时披露或提交董事会、股东大会审议标准的，比照本办法</w:t>
      </w:r>
      <w:r>
        <w:rPr>
          <w:rFonts w:ascii="仿宋_GB2312" w:eastAsia="仿宋_GB2312" w:hAnsi="宋体"/>
          <w:sz w:val="30"/>
          <w:szCs w:val="30"/>
        </w:rPr>
        <w:t>第</w:t>
      </w:r>
      <w:r>
        <w:rPr>
          <w:rFonts w:ascii="仿宋_GB2312" w:eastAsia="仿宋_GB2312" w:hAnsi="宋体" w:hint="eastAsia"/>
          <w:sz w:val="30"/>
          <w:szCs w:val="30"/>
        </w:rPr>
        <w:t>二十九</w:t>
      </w:r>
      <w:r>
        <w:rPr>
          <w:rFonts w:ascii="仿宋_GB2312" w:eastAsia="仿宋_GB2312" w:hAnsi="宋体"/>
          <w:sz w:val="30"/>
          <w:szCs w:val="30"/>
        </w:rPr>
        <w:t>条第（</w:t>
      </w:r>
      <w:r>
        <w:rPr>
          <w:rFonts w:ascii="仿宋_GB2312" w:eastAsia="仿宋_GB2312" w:hAnsi="宋体" w:hint="eastAsia"/>
          <w:sz w:val="30"/>
          <w:szCs w:val="30"/>
        </w:rPr>
        <w:t>一</w:t>
      </w:r>
      <w:r>
        <w:rPr>
          <w:rFonts w:ascii="仿宋_GB2312" w:eastAsia="仿宋_GB2312" w:hAnsi="宋体"/>
          <w:sz w:val="30"/>
          <w:szCs w:val="30"/>
        </w:rPr>
        <w:t>）</w:t>
      </w:r>
      <w:r>
        <w:rPr>
          <w:rFonts w:ascii="仿宋_GB2312" w:eastAsia="仿宋_GB2312" w:hAnsi="宋体" w:hint="eastAsia"/>
          <w:sz w:val="30"/>
          <w:szCs w:val="30"/>
        </w:rPr>
        <w:t>款</w:t>
      </w:r>
      <w:r>
        <w:rPr>
          <w:rFonts w:ascii="仿宋_GB2312" w:eastAsia="仿宋_GB2312" w:hAnsi="宋体"/>
          <w:sz w:val="30"/>
          <w:szCs w:val="30"/>
        </w:rPr>
        <w:t>一般关联交易审批流程处理。</w:t>
      </w:r>
      <w:r>
        <w:rPr>
          <w:rFonts w:ascii="仿宋_GB2312" w:eastAsia="仿宋_GB2312" w:hAnsi="宋体"/>
          <w:b/>
          <w:bCs/>
          <w:sz w:val="30"/>
          <w:szCs w:val="30"/>
        </w:rPr>
        <w:t xml:space="preserve">  </w:t>
      </w:r>
    </w:p>
    <w:p w:rsidR="005C402C" w:rsidRDefault="005C402C" w:rsidP="005C402C">
      <w:pPr>
        <w:pStyle w:val="ae"/>
        <w:widowControl w:val="0"/>
        <w:adjustRightInd w:val="0"/>
        <w:snapToGrid w:val="0"/>
        <w:spacing w:before="0" w:after="0" w:line="360" w:lineRule="auto"/>
        <w:ind w:firstLine="0"/>
        <w:jc w:val="both"/>
        <w:rPr>
          <w:rFonts w:ascii="仿宋_GB2312" w:eastAsia="仿宋_GB2312" w:hAnsi="宋体"/>
          <w:color w:val="auto"/>
          <w:sz w:val="30"/>
          <w:szCs w:val="30"/>
        </w:rPr>
      </w:pPr>
      <w:r>
        <w:rPr>
          <w:rFonts w:ascii="仿宋_GB2312" w:eastAsia="仿宋_GB2312" w:hAnsi="宋体" w:hint="eastAsia"/>
          <w:b/>
          <w:sz w:val="30"/>
          <w:szCs w:val="30"/>
        </w:rPr>
        <w:t xml:space="preserve">    </w:t>
      </w:r>
      <w:r>
        <w:rPr>
          <w:rFonts w:ascii="仿宋_GB2312" w:eastAsia="仿宋_GB2312" w:hAnsi="宋体" w:hint="eastAsia"/>
          <w:b/>
          <w:color w:val="auto"/>
          <w:sz w:val="30"/>
          <w:szCs w:val="30"/>
        </w:rPr>
        <w:t>第三十二条</w:t>
      </w:r>
      <w:r>
        <w:rPr>
          <w:rFonts w:ascii="仿宋_GB2312" w:eastAsia="仿宋_GB2312" w:hAnsi="宋体" w:hint="eastAsia"/>
          <w:color w:val="auto"/>
          <w:sz w:val="30"/>
          <w:szCs w:val="30"/>
        </w:rPr>
        <w:t xml:space="preserve">  关联</w:t>
      </w:r>
      <w:r>
        <w:rPr>
          <w:rFonts w:ascii="仿宋_GB2312" w:eastAsia="仿宋_GB2312" w:hAnsi="宋体"/>
          <w:color w:val="auto"/>
          <w:sz w:val="30"/>
          <w:szCs w:val="30"/>
        </w:rPr>
        <w:t>方回避。</w:t>
      </w:r>
    </w:p>
    <w:p w:rsidR="005C402C" w:rsidRDefault="005C402C" w:rsidP="005C402C">
      <w:pPr>
        <w:pStyle w:val="ae"/>
        <w:widowControl w:val="0"/>
        <w:adjustRightInd w:val="0"/>
        <w:snapToGrid w:val="0"/>
        <w:spacing w:before="0" w:after="0" w:line="360" w:lineRule="auto"/>
        <w:ind w:firstLineChars="200" w:firstLine="600"/>
        <w:jc w:val="both"/>
        <w:rPr>
          <w:rFonts w:ascii="仿宋_GB2312" w:eastAsia="仿宋_GB2312" w:hAnsi="宋体"/>
          <w:color w:val="auto"/>
          <w:sz w:val="30"/>
          <w:szCs w:val="30"/>
        </w:rPr>
      </w:pPr>
      <w:r>
        <w:rPr>
          <w:rFonts w:ascii="仿宋_GB2312" w:eastAsia="仿宋_GB2312" w:hAnsi="宋体" w:hint="eastAsia"/>
          <w:color w:val="auto"/>
          <w:sz w:val="30"/>
          <w:szCs w:val="30"/>
        </w:rPr>
        <w:lastRenderedPageBreak/>
        <w:t>（一）关联交易的审查审批过程中，关联内部人应当主动申请回避。因回避致使该</w:t>
      </w:r>
      <w:r>
        <w:rPr>
          <w:rFonts w:ascii="仿宋_GB2312" w:eastAsia="仿宋_GB2312" w:hAnsi="宋体"/>
          <w:color w:val="auto"/>
          <w:sz w:val="30"/>
          <w:szCs w:val="30"/>
        </w:rPr>
        <w:t>内部人</w:t>
      </w:r>
      <w:r>
        <w:rPr>
          <w:rFonts w:ascii="仿宋_GB2312" w:eastAsia="仿宋_GB2312" w:hAnsi="宋体" w:hint="eastAsia"/>
          <w:color w:val="auto"/>
          <w:sz w:val="30"/>
          <w:szCs w:val="30"/>
        </w:rPr>
        <w:t>无法审批该事项的，应采取A</w:t>
      </w:r>
      <w:r>
        <w:rPr>
          <w:rFonts w:ascii="仿宋_GB2312" w:eastAsia="仿宋_GB2312" w:hAnsi="宋体"/>
          <w:color w:val="auto"/>
          <w:sz w:val="30"/>
          <w:szCs w:val="30"/>
        </w:rPr>
        <w:t>B</w:t>
      </w:r>
      <w:r>
        <w:rPr>
          <w:rFonts w:ascii="仿宋_GB2312" w:eastAsia="仿宋_GB2312" w:hAnsi="宋体" w:hint="eastAsia"/>
          <w:color w:val="auto"/>
          <w:sz w:val="30"/>
          <w:szCs w:val="30"/>
        </w:rPr>
        <w:t>角切换</w:t>
      </w:r>
      <w:r>
        <w:rPr>
          <w:rFonts w:ascii="仿宋_GB2312" w:eastAsia="仿宋_GB2312" w:hAnsi="宋体"/>
          <w:color w:val="auto"/>
          <w:sz w:val="30"/>
          <w:szCs w:val="30"/>
        </w:rPr>
        <w:t>审批</w:t>
      </w:r>
      <w:r>
        <w:rPr>
          <w:rFonts w:ascii="仿宋_GB2312" w:eastAsia="仿宋_GB2312" w:hAnsi="宋体" w:hint="eastAsia"/>
          <w:color w:val="auto"/>
          <w:sz w:val="30"/>
          <w:szCs w:val="30"/>
        </w:rPr>
        <w:t>形式</w:t>
      </w:r>
      <w:r>
        <w:rPr>
          <w:rFonts w:ascii="仿宋_GB2312" w:eastAsia="仿宋_GB2312" w:hAnsi="宋体"/>
          <w:color w:val="auto"/>
          <w:sz w:val="30"/>
          <w:szCs w:val="30"/>
        </w:rPr>
        <w:t>。</w:t>
      </w:r>
    </w:p>
    <w:p w:rsidR="005C402C" w:rsidRDefault="005C402C" w:rsidP="005C402C">
      <w:pPr>
        <w:pStyle w:val="ae"/>
        <w:widowControl w:val="0"/>
        <w:adjustRightInd w:val="0"/>
        <w:snapToGrid w:val="0"/>
        <w:spacing w:before="0" w:after="0" w:line="360" w:lineRule="auto"/>
        <w:ind w:firstLineChars="200" w:firstLine="600"/>
        <w:jc w:val="both"/>
        <w:rPr>
          <w:rFonts w:ascii="仿宋_GB2312" w:eastAsia="仿宋_GB2312" w:hAnsi="宋体"/>
          <w:color w:val="auto"/>
          <w:sz w:val="30"/>
          <w:szCs w:val="30"/>
        </w:rPr>
      </w:pPr>
      <w:r>
        <w:rPr>
          <w:rFonts w:ascii="仿宋_GB2312" w:eastAsia="仿宋_GB2312" w:hAnsi="宋体" w:hint="eastAsia"/>
          <w:color w:val="auto"/>
          <w:sz w:val="30"/>
          <w:szCs w:val="30"/>
        </w:rPr>
        <w:t>（二）董事会、</w:t>
      </w:r>
      <w:r>
        <w:rPr>
          <w:rFonts w:ascii="仿宋_GB2312" w:eastAsia="仿宋_GB2312" w:hAnsi="宋体"/>
          <w:color w:val="auto"/>
          <w:sz w:val="30"/>
          <w:szCs w:val="30"/>
        </w:rPr>
        <w:t>独立董事</w:t>
      </w:r>
      <w:r>
        <w:rPr>
          <w:rFonts w:ascii="仿宋_GB2312" w:eastAsia="仿宋_GB2312" w:hAnsi="宋体" w:hint="eastAsia"/>
          <w:color w:val="auto"/>
          <w:sz w:val="30"/>
          <w:szCs w:val="30"/>
        </w:rPr>
        <w:t>和关联交易控制委员会审议关联交易事项时，关联董事应当回避表决，也不得代理其他董事行使表决权。关联董事包括具有下列情形之一的董事：</w:t>
      </w:r>
    </w:p>
    <w:p w:rsidR="005C402C" w:rsidRDefault="005C402C" w:rsidP="005C402C">
      <w:pPr>
        <w:pStyle w:val="ae"/>
        <w:widowControl w:val="0"/>
        <w:adjustRightInd w:val="0"/>
        <w:snapToGrid w:val="0"/>
        <w:spacing w:before="0" w:after="0" w:line="360" w:lineRule="auto"/>
        <w:ind w:firstLineChars="200" w:firstLine="600"/>
        <w:jc w:val="both"/>
        <w:rPr>
          <w:rFonts w:ascii="仿宋_GB2312" w:eastAsia="仿宋_GB2312" w:hAnsi="宋体"/>
          <w:color w:val="auto"/>
          <w:sz w:val="30"/>
          <w:szCs w:val="30"/>
        </w:rPr>
      </w:pPr>
      <w:r>
        <w:rPr>
          <w:rFonts w:ascii="仿宋_GB2312" w:eastAsia="仿宋_GB2312" w:hAnsi="宋体"/>
          <w:color w:val="auto"/>
          <w:sz w:val="30"/>
          <w:szCs w:val="30"/>
        </w:rPr>
        <w:t>1.</w:t>
      </w:r>
      <w:r>
        <w:rPr>
          <w:rFonts w:ascii="仿宋_GB2312" w:eastAsia="仿宋_GB2312" w:hAnsi="宋体" w:hint="eastAsia"/>
          <w:color w:val="auto"/>
          <w:sz w:val="30"/>
          <w:szCs w:val="30"/>
        </w:rPr>
        <w:t>为交易对方；</w:t>
      </w:r>
    </w:p>
    <w:p w:rsidR="005C402C" w:rsidRDefault="005C402C" w:rsidP="005C402C">
      <w:pPr>
        <w:pStyle w:val="ae"/>
        <w:widowControl w:val="0"/>
        <w:adjustRightInd w:val="0"/>
        <w:snapToGrid w:val="0"/>
        <w:spacing w:before="0" w:after="0" w:line="360" w:lineRule="auto"/>
        <w:ind w:firstLineChars="200" w:firstLine="600"/>
        <w:jc w:val="both"/>
        <w:rPr>
          <w:rFonts w:ascii="仿宋_GB2312" w:eastAsia="仿宋_GB2312" w:hAnsi="宋体"/>
          <w:color w:val="auto"/>
          <w:sz w:val="30"/>
          <w:szCs w:val="30"/>
        </w:rPr>
      </w:pPr>
      <w:r>
        <w:rPr>
          <w:rFonts w:ascii="仿宋_GB2312" w:eastAsia="仿宋_GB2312" w:hAnsi="宋体" w:hint="eastAsia"/>
          <w:color w:val="auto"/>
          <w:sz w:val="30"/>
          <w:szCs w:val="30"/>
        </w:rPr>
        <w:t>2.为交易对方的直接或者间接控制人；</w:t>
      </w:r>
    </w:p>
    <w:p w:rsidR="005C402C" w:rsidRDefault="005C402C" w:rsidP="005C402C">
      <w:pPr>
        <w:pStyle w:val="ae"/>
        <w:widowControl w:val="0"/>
        <w:adjustRightInd w:val="0"/>
        <w:snapToGrid w:val="0"/>
        <w:spacing w:before="0" w:after="0" w:line="360" w:lineRule="auto"/>
        <w:ind w:firstLineChars="200" w:firstLine="600"/>
        <w:jc w:val="both"/>
        <w:rPr>
          <w:rFonts w:ascii="仿宋_GB2312" w:eastAsia="仿宋_GB2312" w:hAnsi="宋体"/>
          <w:color w:val="auto"/>
          <w:sz w:val="30"/>
          <w:szCs w:val="30"/>
        </w:rPr>
      </w:pPr>
      <w:r>
        <w:rPr>
          <w:rFonts w:ascii="仿宋_GB2312" w:eastAsia="仿宋_GB2312" w:hAnsi="宋体"/>
          <w:color w:val="auto"/>
          <w:sz w:val="30"/>
          <w:szCs w:val="30"/>
        </w:rPr>
        <w:t>3.</w:t>
      </w:r>
      <w:r>
        <w:rPr>
          <w:rFonts w:ascii="仿宋_GB2312" w:eastAsia="仿宋_GB2312" w:hAnsi="宋体" w:hint="eastAsia"/>
          <w:color w:val="auto"/>
          <w:sz w:val="30"/>
          <w:szCs w:val="30"/>
        </w:rPr>
        <w:t>在交易对方任职，或者在能直接或间接控制该交易对方的法人或其他组织、该交易对方直接或者间接控制的法人或其他组织任职；</w:t>
      </w:r>
    </w:p>
    <w:p w:rsidR="005C402C" w:rsidRDefault="005C402C" w:rsidP="005C402C">
      <w:pPr>
        <w:pStyle w:val="ae"/>
        <w:widowControl w:val="0"/>
        <w:adjustRightInd w:val="0"/>
        <w:snapToGrid w:val="0"/>
        <w:spacing w:before="0" w:after="0" w:line="360" w:lineRule="auto"/>
        <w:ind w:firstLineChars="200" w:firstLine="600"/>
        <w:jc w:val="both"/>
        <w:rPr>
          <w:rFonts w:ascii="仿宋_GB2312" w:eastAsia="仿宋_GB2312" w:hAnsi="宋体"/>
          <w:color w:val="auto"/>
          <w:sz w:val="30"/>
          <w:szCs w:val="30"/>
        </w:rPr>
      </w:pPr>
      <w:r>
        <w:rPr>
          <w:rFonts w:ascii="仿宋_GB2312" w:eastAsia="仿宋_GB2312" w:hAnsi="宋体"/>
          <w:color w:val="auto"/>
          <w:sz w:val="30"/>
          <w:szCs w:val="30"/>
        </w:rPr>
        <w:t>4.</w:t>
      </w:r>
      <w:r>
        <w:rPr>
          <w:rFonts w:ascii="仿宋_GB2312" w:eastAsia="仿宋_GB2312" w:hAnsi="宋体" w:hint="eastAsia"/>
          <w:color w:val="auto"/>
          <w:sz w:val="30"/>
          <w:szCs w:val="30"/>
        </w:rPr>
        <w:t>为交易对方或者其直接或者间接控制人的近亲属；</w:t>
      </w:r>
    </w:p>
    <w:p w:rsidR="005C402C" w:rsidRDefault="005C402C" w:rsidP="005C402C">
      <w:pPr>
        <w:pStyle w:val="ae"/>
        <w:widowControl w:val="0"/>
        <w:adjustRightInd w:val="0"/>
        <w:snapToGrid w:val="0"/>
        <w:spacing w:before="0" w:after="0" w:line="360" w:lineRule="auto"/>
        <w:ind w:firstLineChars="200" w:firstLine="600"/>
        <w:jc w:val="both"/>
        <w:rPr>
          <w:rFonts w:ascii="仿宋_GB2312" w:eastAsia="仿宋_GB2312" w:hAnsi="宋体"/>
          <w:color w:val="auto"/>
          <w:sz w:val="30"/>
          <w:szCs w:val="30"/>
        </w:rPr>
      </w:pPr>
      <w:r>
        <w:rPr>
          <w:rFonts w:ascii="仿宋_GB2312" w:eastAsia="仿宋_GB2312" w:hAnsi="宋体"/>
          <w:color w:val="auto"/>
          <w:sz w:val="30"/>
          <w:szCs w:val="30"/>
        </w:rPr>
        <w:t>5.</w:t>
      </w:r>
      <w:r>
        <w:rPr>
          <w:rFonts w:ascii="仿宋_GB2312" w:eastAsia="仿宋_GB2312" w:hAnsi="宋体" w:hint="eastAsia"/>
          <w:color w:val="auto"/>
          <w:sz w:val="30"/>
          <w:szCs w:val="30"/>
        </w:rPr>
        <w:t>为交易对方或者其直接或者间接控制人的董事、监事或高级管理人员的近亲属；</w:t>
      </w:r>
    </w:p>
    <w:p w:rsidR="005C402C" w:rsidRDefault="005C402C" w:rsidP="005C402C">
      <w:pPr>
        <w:pStyle w:val="ae"/>
        <w:widowControl w:val="0"/>
        <w:adjustRightInd w:val="0"/>
        <w:snapToGrid w:val="0"/>
        <w:spacing w:before="0" w:after="0" w:line="360" w:lineRule="auto"/>
        <w:ind w:firstLineChars="200" w:firstLine="600"/>
        <w:jc w:val="both"/>
        <w:rPr>
          <w:rFonts w:ascii="仿宋_GB2312" w:eastAsia="仿宋_GB2312" w:hAnsi="宋体"/>
          <w:color w:val="auto"/>
          <w:sz w:val="30"/>
          <w:szCs w:val="30"/>
        </w:rPr>
      </w:pPr>
      <w:r>
        <w:rPr>
          <w:rFonts w:ascii="仿宋_GB2312" w:eastAsia="仿宋_GB2312" w:hAnsi="宋体"/>
          <w:color w:val="auto"/>
          <w:sz w:val="30"/>
          <w:szCs w:val="30"/>
        </w:rPr>
        <w:t>6.</w:t>
      </w:r>
      <w:r>
        <w:rPr>
          <w:rFonts w:ascii="仿宋_GB2312" w:eastAsia="仿宋_GB2312" w:hAnsi="宋体" w:hint="eastAsia"/>
          <w:color w:val="auto"/>
          <w:sz w:val="30"/>
          <w:szCs w:val="30"/>
        </w:rPr>
        <w:t>银保监会、证监会等本行股票上市地监管机构及上交所、联交所等本行股票上市的证券交易所或者本行基于实质重于形式原则认定的其独立商业判断可能受到影响的董事。</w:t>
      </w:r>
    </w:p>
    <w:p w:rsidR="005C402C" w:rsidRDefault="005C402C" w:rsidP="005C402C">
      <w:pPr>
        <w:pStyle w:val="ae"/>
        <w:widowControl w:val="0"/>
        <w:adjustRightInd w:val="0"/>
        <w:snapToGrid w:val="0"/>
        <w:spacing w:before="0" w:after="0" w:line="360" w:lineRule="auto"/>
        <w:ind w:firstLineChars="200" w:firstLine="600"/>
        <w:jc w:val="both"/>
        <w:rPr>
          <w:rFonts w:ascii="仿宋_GB2312" w:eastAsia="仿宋_GB2312" w:hAnsi="宋体"/>
          <w:color w:val="auto"/>
          <w:sz w:val="30"/>
          <w:szCs w:val="30"/>
        </w:rPr>
      </w:pPr>
      <w:r>
        <w:rPr>
          <w:rFonts w:ascii="仿宋_GB2312" w:eastAsia="仿宋_GB2312" w:hAnsi="宋体" w:hint="eastAsia"/>
          <w:color w:val="auto"/>
          <w:sz w:val="30"/>
          <w:szCs w:val="30"/>
        </w:rPr>
        <w:t>（三）股东大会审议关联交易事项时，关联股东及</w:t>
      </w:r>
      <w:r>
        <w:rPr>
          <w:rFonts w:ascii="仿宋_GB2312" w:eastAsia="仿宋_GB2312" w:hAnsi="宋体"/>
          <w:color w:val="auto"/>
          <w:sz w:val="30"/>
          <w:szCs w:val="30"/>
        </w:rPr>
        <w:t>关</w:t>
      </w:r>
      <w:r>
        <w:rPr>
          <w:rFonts w:ascii="仿宋_GB2312" w:eastAsia="仿宋_GB2312" w:hAnsi="宋体" w:hint="eastAsia"/>
          <w:color w:val="auto"/>
          <w:sz w:val="30"/>
          <w:szCs w:val="30"/>
        </w:rPr>
        <w:t>连</w:t>
      </w:r>
      <w:r>
        <w:rPr>
          <w:rFonts w:ascii="仿宋_GB2312" w:eastAsia="仿宋_GB2312" w:hAnsi="宋体"/>
          <w:color w:val="auto"/>
          <w:sz w:val="30"/>
          <w:szCs w:val="30"/>
        </w:rPr>
        <w:t>人士</w:t>
      </w:r>
      <w:r>
        <w:rPr>
          <w:rFonts w:ascii="仿宋_GB2312" w:eastAsia="仿宋_GB2312" w:hAnsi="宋体" w:hint="eastAsia"/>
          <w:color w:val="auto"/>
          <w:sz w:val="30"/>
          <w:szCs w:val="30"/>
        </w:rPr>
        <w:t>应当回避表决。关联股东及</w:t>
      </w:r>
      <w:r>
        <w:rPr>
          <w:rFonts w:ascii="仿宋_GB2312" w:eastAsia="仿宋_GB2312" w:hAnsi="宋体"/>
          <w:color w:val="auto"/>
          <w:sz w:val="30"/>
          <w:szCs w:val="30"/>
        </w:rPr>
        <w:t>关连人士</w:t>
      </w:r>
      <w:r>
        <w:rPr>
          <w:rFonts w:ascii="仿宋_GB2312" w:eastAsia="仿宋_GB2312" w:hAnsi="宋体" w:hint="eastAsia"/>
          <w:color w:val="auto"/>
          <w:sz w:val="30"/>
          <w:szCs w:val="30"/>
        </w:rPr>
        <w:t>包括具有下列情形之一的人士：</w:t>
      </w:r>
    </w:p>
    <w:p w:rsidR="005C402C" w:rsidRDefault="005C402C" w:rsidP="005C402C">
      <w:pPr>
        <w:pStyle w:val="ae"/>
        <w:widowControl w:val="0"/>
        <w:adjustRightInd w:val="0"/>
        <w:snapToGrid w:val="0"/>
        <w:spacing w:before="0" w:after="0" w:line="360" w:lineRule="auto"/>
        <w:ind w:firstLineChars="200" w:firstLine="600"/>
        <w:jc w:val="both"/>
        <w:rPr>
          <w:rFonts w:ascii="仿宋_GB2312" w:eastAsia="仿宋_GB2312" w:hAnsi="宋体"/>
          <w:color w:val="auto"/>
          <w:sz w:val="30"/>
          <w:szCs w:val="30"/>
        </w:rPr>
      </w:pPr>
      <w:r>
        <w:rPr>
          <w:rFonts w:ascii="仿宋_GB2312" w:eastAsia="仿宋_GB2312" w:hAnsi="宋体"/>
          <w:color w:val="auto"/>
          <w:sz w:val="30"/>
          <w:szCs w:val="30"/>
        </w:rPr>
        <w:t>1</w:t>
      </w:r>
      <w:r>
        <w:rPr>
          <w:rFonts w:ascii="仿宋_GB2312" w:eastAsia="仿宋_GB2312" w:hAnsi="宋体" w:hint="eastAsia"/>
          <w:color w:val="auto"/>
          <w:sz w:val="30"/>
          <w:szCs w:val="30"/>
        </w:rPr>
        <w:t>.为交易对方；</w:t>
      </w:r>
    </w:p>
    <w:p w:rsidR="005C402C" w:rsidRDefault="005C402C" w:rsidP="005C402C">
      <w:pPr>
        <w:pStyle w:val="ae"/>
        <w:widowControl w:val="0"/>
        <w:adjustRightInd w:val="0"/>
        <w:snapToGrid w:val="0"/>
        <w:spacing w:before="0" w:after="0" w:line="360" w:lineRule="auto"/>
        <w:ind w:firstLineChars="200" w:firstLine="600"/>
        <w:jc w:val="both"/>
        <w:rPr>
          <w:rFonts w:ascii="仿宋_GB2312" w:eastAsia="仿宋_GB2312" w:hAnsi="宋体"/>
          <w:color w:val="auto"/>
          <w:sz w:val="30"/>
          <w:szCs w:val="30"/>
        </w:rPr>
      </w:pPr>
      <w:r>
        <w:rPr>
          <w:rFonts w:ascii="仿宋_GB2312" w:eastAsia="仿宋_GB2312" w:hAnsi="宋体" w:hint="eastAsia"/>
          <w:color w:val="auto"/>
          <w:sz w:val="30"/>
          <w:szCs w:val="30"/>
        </w:rPr>
        <w:t>2.为交易对方的直接或者间接控制人；</w:t>
      </w:r>
    </w:p>
    <w:p w:rsidR="005C402C" w:rsidRDefault="005C402C" w:rsidP="005C402C">
      <w:pPr>
        <w:pStyle w:val="ae"/>
        <w:widowControl w:val="0"/>
        <w:adjustRightInd w:val="0"/>
        <w:snapToGrid w:val="0"/>
        <w:spacing w:before="0" w:after="0" w:line="360" w:lineRule="auto"/>
        <w:ind w:firstLineChars="200" w:firstLine="600"/>
        <w:jc w:val="both"/>
        <w:rPr>
          <w:rFonts w:ascii="仿宋_GB2312" w:eastAsia="仿宋_GB2312" w:hAnsi="宋体"/>
          <w:color w:val="auto"/>
          <w:sz w:val="30"/>
          <w:szCs w:val="30"/>
        </w:rPr>
      </w:pPr>
      <w:r>
        <w:rPr>
          <w:rFonts w:ascii="仿宋_GB2312" w:eastAsia="仿宋_GB2312" w:hAnsi="宋体"/>
          <w:color w:val="auto"/>
          <w:sz w:val="30"/>
          <w:szCs w:val="30"/>
        </w:rPr>
        <w:t>3.</w:t>
      </w:r>
      <w:r>
        <w:rPr>
          <w:rFonts w:ascii="仿宋_GB2312" w:eastAsia="仿宋_GB2312" w:hAnsi="宋体" w:hint="eastAsia"/>
          <w:color w:val="auto"/>
          <w:sz w:val="30"/>
          <w:szCs w:val="30"/>
        </w:rPr>
        <w:t>被交易对方直接或者间接控制；</w:t>
      </w:r>
    </w:p>
    <w:p w:rsidR="005C402C" w:rsidRDefault="005C402C" w:rsidP="005C402C">
      <w:pPr>
        <w:pStyle w:val="ae"/>
        <w:widowControl w:val="0"/>
        <w:adjustRightInd w:val="0"/>
        <w:snapToGrid w:val="0"/>
        <w:spacing w:before="0" w:after="0" w:line="360" w:lineRule="auto"/>
        <w:ind w:firstLineChars="200" w:firstLine="600"/>
        <w:jc w:val="both"/>
        <w:rPr>
          <w:rFonts w:ascii="仿宋_GB2312" w:eastAsia="仿宋_GB2312" w:hAnsi="宋体"/>
          <w:color w:val="auto"/>
          <w:sz w:val="30"/>
          <w:szCs w:val="30"/>
        </w:rPr>
      </w:pPr>
      <w:r>
        <w:rPr>
          <w:rFonts w:ascii="仿宋_GB2312" w:eastAsia="仿宋_GB2312" w:hAnsi="宋体"/>
          <w:color w:val="auto"/>
          <w:sz w:val="30"/>
          <w:szCs w:val="30"/>
        </w:rPr>
        <w:t>4.</w:t>
      </w:r>
      <w:r>
        <w:rPr>
          <w:rFonts w:ascii="仿宋_GB2312" w:eastAsia="仿宋_GB2312" w:hAnsi="宋体" w:hint="eastAsia"/>
          <w:color w:val="auto"/>
          <w:sz w:val="30"/>
          <w:szCs w:val="30"/>
        </w:rPr>
        <w:t>与交易对方受同一法人或其他组织或者自然人直接或间</w:t>
      </w:r>
      <w:r>
        <w:rPr>
          <w:rFonts w:ascii="仿宋_GB2312" w:eastAsia="仿宋_GB2312" w:hAnsi="宋体" w:hint="eastAsia"/>
          <w:color w:val="auto"/>
          <w:sz w:val="30"/>
          <w:szCs w:val="30"/>
        </w:rPr>
        <w:lastRenderedPageBreak/>
        <w:t>接控制；</w:t>
      </w:r>
    </w:p>
    <w:p w:rsidR="005C402C" w:rsidRDefault="005C402C" w:rsidP="005C402C">
      <w:pPr>
        <w:pStyle w:val="ae"/>
        <w:widowControl w:val="0"/>
        <w:adjustRightInd w:val="0"/>
        <w:snapToGrid w:val="0"/>
        <w:spacing w:before="0" w:after="0" w:line="360" w:lineRule="auto"/>
        <w:ind w:firstLineChars="200" w:firstLine="600"/>
        <w:jc w:val="both"/>
        <w:rPr>
          <w:rFonts w:ascii="仿宋_GB2312" w:eastAsia="仿宋_GB2312" w:hAnsi="宋体"/>
          <w:color w:val="auto"/>
          <w:sz w:val="30"/>
          <w:szCs w:val="30"/>
        </w:rPr>
      </w:pPr>
      <w:r>
        <w:rPr>
          <w:rFonts w:ascii="仿宋_GB2312" w:eastAsia="仿宋_GB2312" w:hAnsi="宋体"/>
          <w:color w:val="auto"/>
          <w:sz w:val="30"/>
          <w:szCs w:val="30"/>
        </w:rPr>
        <w:t>5.</w:t>
      </w:r>
      <w:r>
        <w:rPr>
          <w:rFonts w:ascii="仿宋_GB2312" w:eastAsia="仿宋_GB2312" w:hAnsi="宋体" w:hint="eastAsia"/>
          <w:color w:val="auto"/>
          <w:sz w:val="30"/>
          <w:szCs w:val="30"/>
        </w:rPr>
        <w:t>因与交易对方或者其关联人存在尚未履行完毕的股权转让协议或者其他协议而使其表决权受到限制和影响的股东；</w:t>
      </w:r>
    </w:p>
    <w:p w:rsidR="005C402C" w:rsidRDefault="005C402C" w:rsidP="005C402C">
      <w:pPr>
        <w:pStyle w:val="ae"/>
        <w:widowControl w:val="0"/>
        <w:adjustRightInd w:val="0"/>
        <w:snapToGrid w:val="0"/>
        <w:spacing w:before="0" w:after="0" w:line="360" w:lineRule="auto"/>
        <w:ind w:firstLineChars="200" w:firstLine="600"/>
        <w:jc w:val="both"/>
        <w:rPr>
          <w:rFonts w:ascii="仿宋_GB2312" w:eastAsia="仿宋_GB2312" w:hAnsi="宋体"/>
          <w:color w:val="auto"/>
          <w:sz w:val="30"/>
          <w:szCs w:val="30"/>
        </w:rPr>
      </w:pPr>
      <w:r>
        <w:rPr>
          <w:rFonts w:ascii="仿宋_GB2312" w:eastAsia="仿宋_GB2312" w:hAnsi="宋体"/>
          <w:color w:val="auto"/>
          <w:sz w:val="30"/>
          <w:szCs w:val="30"/>
        </w:rPr>
        <w:t>6.</w:t>
      </w:r>
      <w:r>
        <w:rPr>
          <w:rFonts w:hint="eastAsia"/>
        </w:rPr>
        <w:t xml:space="preserve"> </w:t>
      </w:r>
      <w:r>
        <w:rPr>
          <w:rFonts w:ascii="仿宋_GB2312" w:eastAsia="仿宋_GB2312" w:hAnsi="宋体" w:hint="eastAsia"/>
          <w:color w:val="auto"/>
          <w:sz w:val="30"/>
          <w:szCs w:val="30"/>
        </w:rPr>
        <w:t>银保监会、证监会等本行股票上市地监管机构及上交所、联交所等本行股票上市的证券交易所认定的可能造成本行利益对其倾斜的股东，</w:t>
      </w:r>
      <w:r>
        <w:rPr>
          <w:rFonts w:ascii="仿宋_GB2312" w:eastAsia="仿宋_GB2312" w:hAnsi="宋体"/>
          <w:color w:val="auto"/>
          <w:sz w:val="30"/>
          <w:szCs w:val="30"/>
        </w:rPr>
        <w:t>及</w:t>
      </w:r>
      <w:r>
        <w:rPr>
          <w:rFonts w:ascii="仿宋_GB2312" w:eastAsia="仿宋_GB2312" w:hAnsi="宋体" w:hint="eastAsia"/>
          <w:color w:val="auto"/>
          <w:sz w:val="30"/>
          <w:szCs w:val="30"/>
        </w:rPr>
        <w:t>认定</w:t>
      </w:r>
      <w:r>
        <w:rPr>
          <w:rFonts w:ascii="仿宋_GB2312" w:eastAsia="仿宋_GB2312" w:hAnsi="宋体"/>
          <w:color w:val="auto"/>
          <w:sz w:val="30"/>
          <w:szCs w:val="30"/>
        </w:rPr>
        <w:t>应该回避的其他人士</w:t>
      </w:r>
      <w:r>
        <w:rPr>
          <w:rFonts w:ascii="仿宋_GB2312" w:eastAsia="仿宋_GB2312" w:hAnsi="宋体" w:hint="eastAsia"/>
          <w:color w:val="auto"/>
          <w:sz w:val="30"/>
          <w:szCs w:val="30"/>
        </w:rPr>
        <w:t>。</w:t>
      </w:r>
    </w:p>
    <w:p w:rsidR="005C402C" w:rsidRDefault="005C402C" w:rsidP="005C402C">
      <w:pPr>
        <w:pStyle w:val="ae"/>
        <w:widowControl w:val="0"/>
        <w:tabs>
          <w:tab w:val="left" w:pos="2807"/>
        </w:tabs>
        <w:adjustRightInd w:val="0"/>
        <w:snapToGrid w:val="0"/>
        <w:spacing w:before="0" w:after="0" w:line="360" w:lineRule="auto"/>
        <w:ind w:firstLineChars="200" w:firstLine="602"/>
        <w:jc w:val="both"/>
        <w:rPr>
          <w:rFonts w:ascii="仿宋_GB2312" w:eastAsia="仿宋_GB2312" w:hAnsi="宋体"/>
          <w:color w:val="auto"/>
          <w:sz w:val="30"/>
          <w:szCs w:val="30"/>
        </w:rPr>
      </w:pPr>
      <w:r>
        <w:rPr>
          <w:rFonts w:ascii="仿宋_GB2312" w:eastAsia="仿宋_GB2312" w:hAnsi="宋体" w:hint="eastAsia"/>
          <w:b/>
          <w:color w:val="auto"/>
          <w:sz w:val="30"/>
          <w:szCs w:val="30"/>
        </w:rPr>
        <w:t>第三十三</w:t>
      </w:r>
      <w:r>
        <w:rPr>
          <w:rFonts w:ascii="仿宋_GB2312" w:eastAsia="仿宋_GB2312" w:hAnsi="宋体"/>
          <w:b/>
          <w:color w:val="auto"/>
          <w:sz w:val="30"/>
          <w:szCs w:val="30"/>
        </w:rPr>
        <w:t>条</w:t>
      </w:r>
      <w:r>
        <w:rPr>
          <w:rFonts w:ascii="仿宋_GB2312" w:eastAsia="仿宋_GB2312" w:hAnsi="宋体" w:hint="eastAsia"/>
          <w:color w:val="auto"/>
          <w:sz w:val="30"/>
          <w:szCs w:val="30"/>
        </w:rPr>
        <w:t xml:space="preserve">  </w:t>
      </w:r>
      <w:r>
        <w:rPr>
          <w:rFonts w:ascii="仿宋_GB2312" w:eastAsia="仿宋_GB2312" w:hAnsi="宋体"/>
          <w:color w:val="auto"/>
          <w:sz w:val="30"/>
          <w:szCs w:val="30"/>
        </w:rPr>
        <w:t>本行的独立董事应当对重大关联交易的公允性以及内部审批程序履行情况发表书面意见</w:t>
      </w:r>
      <w:r>
        <w:rPr>
          <w:rFonts w:ascii="仿宋_GB2312" w:eastAsia="仿宋_GB2312" w:hAnsi="宋体" w:hint="eastAsia"/>
          <w:color w:val="auto"/>
          <w:sz w:val="30"/>
          <w:szCs w:val="30"/>
        </w:rPr>
        <w:t>，</w:t>
      </w:r>
      <w:r>
        <w:rPr>
          <w:rFonts w:ascii="仿宋_GB2312" w:eastAsia="仿宋_GB2312" w:hAnsi="宋体"/>
          <w:color w:val="auto"/>
          <w:sz w:val="30"/>
          <w:szCs w:val="30"/>
        </w:rPr>
        <w:t>并由董事会办公室存档。</w:t>
      </w:r>
    </w:p>
    <w:p w:rsidR="005C402C" w:rsidRDefault="005C402C" w:rsidP="005C402C">
      <w:pPr>
        <w:adjustRightInd w:val="0"/>
        <w:snapToGrid w:val="0"/>
        <w:spacing w:line="360" w:lineRule="auto"/>
        <w:ind w:firstLineChars="200" w:firstLine="602"/>
        <w:rPr>
          <w:rFonts w:ascii="仿宋_GB2312" w:eastAsia="仿宋_GB2312" w:hAnsi="宋体"/>
          <w:sz w:val="30"/>
          <w:szCs w:val="30"/>
          <w:u w:color="000000"/>
        </w:rPr>
      </w:pPr>
      <w:r>
        <w:rPr>
          <w:rFonts w:ascii="仿宋_GB2312" w:eastAsia="仿宋_GB2312" w:hAnsi="宋体" w:hint="eastAsia"/>
          <w:b/>
          <w:sz w:val="30"/>
          <w:szCs w:val="30"/>
        </w:rPr>
        <w:t>第</w:t>
      </w:r>
      <w:r>
        <w:rPr>
          <w:rFonts w:ascii="仿宋_GB2312" w:eastAsia="仿宋_GB2312" w:hAnsi="宋体"/>
          <w:b/>
          <w:sz w:val="30"/>
          <w:szCs w:val="30"/>
        </w:rPr>
        <w:t>三十</w:t>
      </w:r>
      <w:r>
        <w:rPr>
          <w:rFonts w:ascii="仿宋_GB2312" w:eastAsia="仿宋_GB2312" w:hAnsi="宋体" w:hint="eastAsia"/>
          <w:b/>
          <w:sz w:val="30"/>
          <w:szCs w:val="30"/>
        </w:rPr>
        <w:t>四</w:t>
      </w:r>
      <w:r>
        <w:rPr>
          <w:rFonts w:ascii="仿宋_GB2312" w:eastAsia="仿宋_GB2312" w:hAnsi="宋体"/>
          <w:b/>
          <w:sz w:val="30"/>
          <w:szCs w:val="30"/>
        </w:rPr>
        <w:t>条</w:t>
      </w:r>
      <w:r>
        <w:rPr>
          <w:rFonts w:ascii="仿宋_GB2312" w:eastAsia="仿宋_GB2312" w:hAnsi="宋体" w:hint="eastAsia"/>
          <w:sz w:val="30"/>
          <w:szCs w:val="30"/>
        </w:rPr>
        <w:t xml:space="preserve">  </w:t>
      </w:r>
      <w:r>
        <w:rPr>
          <w:rFonts w:ascii="仿宋_GB2312" w:eastAsia="仿宋_GB2312" w:hAnsi="宋体" w:hint="eastAsia"/>
          <w:sz w:val="30"/>
          <w:szCs w:val="30"/>
          <w:u w:color="000000"/>
        </w:rPr>
        <w:t>本行控股子公司与本行关联方之间的关联交易，纳入本行关联交易管理。</w:t>
      </w:r>
    </w:p>
    <w:p w:rsidR="005C402C" w:rsidRDefault="005C402C" w:rsidP="005C402C">
      <w:pPr>
        <w:adjustRightInd w:val="0"/>
        <w:snapToGrid w:val="0"/>
        <w:spacing w:line="360" w:lineRule="auto"/>
        <w:ind w:firstLineChars="200" w:firstLine="600"/>
        <w:rPr>
          <w:rFonts w:ascii="仿宋_GB2312" w:eastAsia="仿宋_GB2312" w:hAnsi="宋体"/>
          <w:sz w:val="30"/>
          <w:szCs w:val="30"/>
          <w:u w:color="000000"/>
        </w:rPr>
      </w:pPr>
      <w:r>
        <w:rPr>
          <w:rFonts w:ascii="仿宋_GB2312" w:eastAsia="仿宋_GB2312" w:hAnsi="宋体" w:hint="eastAsia"/>
          <w:sz w:val="30"/>
          <w:szCs w:val="30"/>
          <w:u w:color="000000"/>
        </w:rPr>
        <w:t>同时</w:t>
      </w:r>
      <w:r>
        <w:rPr>
          <w:rFonts w:ascii="仿宋_GB2312" w:eastAsia="仿宋_GB2312" w:hAnsi="宋体"/>
          <w:sz w:val="30"/>
          <w:szCs w:val="30"/>
          <w:u w:color="000000"/>
        </w:rPr>
        <w:t>属于控股子公司</w:t>
      </w:r>
      <w:r>
        <w:rPr>
          <w:rFonts w:ascii="仿宋_GB2312" w:eastAsia="仿宋_GB2312" w:hAnsi="宋体" w:hint="eastAsia"/>
          <w:sz w:val="30"/>
          <w:szCs w:val="30"/>
          <w:u w:color="000000"/>
        </w:rPr>
        <w:t>及本行</w:t>
      </w:r>
      <w:r>
        <w:rPr>
          <w:rFonts w:ascii="仿宋_GB2312" w:eastAsia="仿宋_GB2312" w:hAnsi="宋体"/>
          <w:sz w:val="30"/>
          <w:szCs w:val="30"/>
          <w:u w:color="000000"/>
        </w:rPr>
        <w:t>关联方的，应同时</w:t>
      </w:r>
      <w:r>
        <w:rPr>
          <w:rFonts w:ascii="仿宋_GB2312" w:eastAsia="仿宋_GB2312" w:hAnsi="宋体" w:hint="eastAsia"/>
          <w:sz w:val="30"/>
          <w:szCs w:val="30"/>
          <w:u w:color="000000"/>
        </w:rPr>
        <w:t>执行</w:t>
      </w:r>
      <w:r>
        <w:rPr>
          <w:rFonts w:ascii="仿宋_GB2312" w:eastAsia="仿宋_GB2312" w:hAnsi="宋体"/>
          <w:sz w:val="30"/>
          <w:szCs w:val="30"/>
          <w:u w:color="000000"/>
        </w:rPr>
        <w:t>本机构和</w:t>
      </w:r>
      <w:r>
        <w:rPr>
          <w:rFonts w:ascii="仿宋_GB2312" w:eastAsia="仿宋_GB2312" w:hAnsi="宋体" w:hint="eastAsia"/>
          <w:sz w:val="30"/>
          <w:szCs w:val="30"/>
          <w:u w:color="000000"/>
        </w:rPr>
        <w:t>发起</w:t>
      </w:r>
      <w:r>
        <w:rPr>
          <w:rFonts w:ascii="仿宋_GB2312" w:eastAsia="仿宋_GB2312" w:hAnsi="宋体"/>
          <w:sz w:val="30"/>
          <w:szCs w:val="30"/>
          <w:u w:color="000000"/>
        </w:rPr>
        <w:t>行关联交易</w:t>
      </w:r>
      <w:r>
        <w:rPr>
          <w:rFonts w:ascii="仿宋_GB2312" w:eastAsia="仿宋_GB2312" w:hAnsi="宋体" w:hint="eastAsia"/>
          <w:sz w:val="30"/>
          <w:szCs w:val="30"/>
          <w:u w:color="000000"/>
        </w:rPr>
        <w:t>审查</w:t>
      </w:r>
      <w:r>
        <w:rPr>
          <w:rFonts w:ascii="仿宋_GB2312" w:eastAsia="仿宋_GB2312" w:hAnsi="宋体"/>
          <w:sz w:val="30"/>
          <w:szCs w:val="30"/>
          <w:u w:color="000000"/>
        </w:rPr>
        <w:t>审批</w:t>
      </w:r>
      <w:r>
        <w:rPr>
          <w:rFonts w:ascii="仿宋_GB2312" w:eastAsia="仿宋_GB2312" w:hAnsi="宋体" w:hint="eastAsia"/>
          <w:sz w:val="30"/>
          <w:szCs w:val="30"/>
          <w:u w:color="000000"/>
        </w:rPr>
        <w:t>流程</w:t>
      </w:r>
      <w:r>
        <w:rPr>
          <w:rFonts w:ascii="仿宋_GB2312" w:eastAsia="仿宋_GB2312" w:hAnsi="宋体"/>
          <w:sz w:val="30"/>
          <w:szCs w:val="30"/>
          <w:u w:color="000000"/>
        </w:rPr>
        <w:t>。</w:t>
      </w:r>
    </w:p>
    <w:p w:rsidR="005C402C" w:rsidRDefault="005C402C" w:rsidP="005C402C">
      <w:pPr>
        <w:adjustRightInd w:val="0"/>
        <w:snapToGrid w:val="0"/>
        <w:spacing w:line="360" w:lineRule="auto"/>
        <w:ind w:firstLineChars="200" w:firstLine="600"/>
        <w:rPr>
          <w:rFonts w:ascii="仿宋_GB2312" w:eastAsia="仿宋_GB2312" w:hAnsi="宋体"/>
          <w:sz w:val="30"/>
          <w:szCs w:val="30"/>
          <w:u w:color="000000"/>
        </w:rPr>
      </w:pPr>
      <w:r>
        <w:rPr>
          <w:rFonts w:ascii="仿宋_GB2312" w:eastAsia="仿宋_GB2312" w:hAnsi="宋体" w:hint="eastAsia"/>
          <w:sz w:val="30"/>
          <w:szCs w:val="30"/>
          <w:u w:color="000000"/>
        </w:rPr>
        <w:t>仅属于本行关联方、不属于控股</w:t>
      </w:r>
      <w:r>
        <w:rPr>
          <w:rFonts w:ascii="仿宋_GB2312" w:eastAsia="仿宋_GB2312" w:hAnsi="宋体"/>
          <w:sz w:val="30"/>
          <w:szCs w:val="30"/>
          <w:u w:color="000000"/>
        </w:rPr>
        <w:t>子公司</w:t>
      </w:r>
      <w:r>
        <w:rPr>
          <w:rFonts w:ascii="仿宋_GB2312" w:eastAsia="仿宋_GB2312" w:hAnsi="宋体" w:hint="eastAsia"/>
          <w:sz w:val="30"/>
          <w:szCs w:val="30"/>
          <w:u w:color="000000"/>
        </w:rPr>
        <w:t>关联方的，应执行发起行关联交易审查审批流程。</w:t>
      </w:r>
    </w:p>
    <w:p w:rsidR="005C402C" w:rsidRDefault="005C402C" w:rsidP="005C402C">
      <w:pPr>
        <w:adjustRightInd w:val="0"/>
        <w:snapToGrid w:val="0"/>
        <w:spacing w:line="360" w:lineRule="auto"/>
        <w:ind w:firstLineChars="200" w:firstLine="600"/>
        <w:rPr>
          <w:rFonts w:ascii="仿宋_GB2312" w:eastAsia="仿宋_GB2312" w:hAnsi="宋体"/>
          <w:sz w:val="30"/>
          <w:szCs w:val="30"/>
          <w:u w:color="000000"/>
        </w:rPr>
      </w:pPr>
      <w:r>
        <w:rPr>
          <w:rFonts w:ascii="仿宋_GB2312" w:eastAsia="仿宋_GB2312" w:hAnsi="宋体" w:hint="eastAsia"/>
          <w:sz w:val="30"/>
          <w:szCs w:val="30"/>
          <w:u w:color="000000"/>
        </w:rPr>
        <w:t>纳入统筹授信申报的，执行本办法</w:t>
      </w:r>
      <w:r>
        <w:rPr>
          <w:rFonts w:ascii="仿宋_GB2312" w:eastAsia="仿宋_GB2312" w:hAnsi="宋体"/>
          <w:sz w:val="30"/>
          <w:szCs w:val="30"/>
          <w:u w:color="000000"/>
        </w:rPr>
        <w:t>第</w:t>
      </w:r>
      <w:r>
        <w:rPr>
          <w:rFonts w:ascii="仿宋_GB2312" w:eastAsia="仿宋_GB2312" w:hAnsi="宋体" w:hint="eastAsia"/>
          <w:sz w:val="30"/>
          <w:szCs w:val="30"/>
          <w:u w:color="000000"/>
        </w:rPr>
        <w:t>二</w:t>
      </w:r>
      <w:r>
        <w:rPr>
          <w:rFonts w:ascii="仿宋_GB2312" w:eastAsia="仿宋_GB2312" w:hAnsi="宋体"/>
          <w:sz w:val="30"/>
          <w:szCs w:val="30"/>
          <w:u w:color="000000"/>
        </w:rPr>
        <w:t>十</w:t>
      </w:r>
      <w:r>
        <w:rPr>
          <w:rFonts w:ascii="仿宋_GB2312" w:eastAsia="仿宋_GB2312" w:hAnsi="宋体" w:hint="eastAsia"/>
          <w:sz w:val="30"/>
          <w:szCs w:val="30"/>
          <w:u w:color="000000"/>
        </w:rPr>
        <w:t>六条规定；未纳入统筹授信申报的，在业务审批通过后、批复印发前，授信类关联交易报总行授信审批部审查，非授信类关联交易报总行董事会办公室审查，审查后的审批</w:t>
      </w:r>
      <w:r>
        <w:rPr>
          <w:rFonts w:ascii="仿宋_GB2312" w:eastAsia="仿宋_GB2312" w:hAnsi="宋体"/>
          <w:sz w:val="30"/>
          <w:szCs w:val="30"/>
          <w:u w:color="000000"/>
        </w:rPr>
        <w:t>、披露等执行本办法第五章、第六章规定</w:t>
      </w:r>
      <w:r>
        <w:rPr>
          <w:rFonts w:ascii="仿宋_GB2312" w:eastAsia="仿宋_GB2312" w:hAnsi="宋体" w:hint="eastAsia"/>
          <w:sz w:val="30"/>
          <w:szCs w:val="30"/>
          <w:u w:color="000000"/>
        </w:rPr>
        <w:t>。</w:t>
      </w:r>
    </w:p>
    <w:p w:rsidR="005C402C" w:rsidRDefault="005C402C" w:rsidP="005C402C">
      <w:pPr>
        <w:pStyle w:val="ae"/>
        <w:widowControl w:val="0"/>
        <w:tabs>
          <w:tab w:val="left" w:pos="2807"/>
        </w:tabs>
        <w:adjustRightInd w:val="0"/>
        <w:snapToGrid w:val="0"/>
        <w:spacing w:before="0" w:after="0" w:line="360" w:lineRule="auto"/>
        <w:ind w:firstLine="0"/>
        <w:jc w:val="center"/>
        <w:rPr>
          <w:rFonts w:ascii="仿宋_GB2312" w:eastAsia="仿宋_GB2312" w:hAnsi="宋体"/>
          <w:b/>
          <w:color w:val="auto"/>
          <w:sz w:val="30"/>
          <w:szCs w:val="30"/>
        </w:rPr>
      </w:pPr>
      <w:r>
        <w:rPr>
          <w:rFonts w:ascii="仿宋_GB2312" w:eastAsia="仿宋_GB2312" w:hAnsi="宋体" w:hint="eastAsia"/>
          <w:b/>
          <w:color w:val="auto"/>
          <w:sz w:val="30"/>
          <w:szCs w:val="30"/>
        </w:rPr>
        <w:t>第六章  关联</w:t>
      </w:r>
      <w:r>
        <w:rPr>
          <w:rFonts w:ascii="仿宋_GB2312" w:eastAsia="仿宋_GB2312" w:hAnsi="宋体"/>
          <w:b/>
          <w:color w:val="auto"/>
          <w:sz w:val="30"/>
          <w:szCs w:val="30"/>
        </w:rPr>
        <w:t>交易的报告与</w:t>
      </w:r>
      <w:r>
        <w:rPr>
          <w:rFonts w:ascii="仿宋_GB2312" w:eastAsia="仿宋_GB2312" w:hAnsi="宋体" w:hint="eastAsia"/>
          <w:b/>
          <w:color w:val="auto"/>
          <w:sz w:val="30"/>
          <w:szCs w:val="30"/>
        </w:rPr>
        <w:t>披露</w:t>
      </w:r>
    </w:p>
    <w:p w:rsidR="005C402C" w:rsidRDefault="005C402C" w:rsidP="005C402C">
      <w:pPr>
        <w:pStyle w:val="ae"/>
        <w:widowControl w:val="0"/>
        <w:adjustRightInd w:val="0"/>
        <w:snapToGrid w:val="0"/>
        <w:spacing w:before="0" w:after="0" w:line="360" w:lineRule="auto"/>
        <w:ind w:firstLineChars="200" w:firstLine="602"/>
        <w:jc w:val="both"/>
        <w:rPr>
          <w:rFonts w:ascii="仿宋_GB2312" w:eastAsia="仿宋_GB2312" w:hAnsi="宋体"/>
          <w:color w:val="auto"/>
          <w:sz w:val="30"/>
          <w:szCs w:val="30"/>
        </w:rPr>
      </w:pPr>
      <w:r>
        <w:rPr>
          <w:rFonts w:ascii="仿宋_GB2312" w:eastAsia="仿宋_GB2312" w:hAnsi="宋体" w:hint="eastAsia"/>
          <w:b/>
          <w:color w:val="auto"/>
          <w:sz w:val="30"/>
          <w:szCs w:val="30"/>
        </w:rPr>
        <w:t>第三十五</w:t>
      </w:r>
      <w:r>
        <w:rPr>
          <w:rFonts w:ascii="仿宋_GB2312" w:eastAsia="仿宋_GB2312" w:hAnsi="宋体"/>
          <w:b/>
          <w:color w:val="auto"/>
          <w:sz w:val="30"/>
          <w:szCs w:val="30"/>
        </w:rPr>
        <w:t>条</w:t>
      </w:r>
      <w:r>
        <w:rPr>
          <w:rFonts w:ascii="仿宋_GB2312" w:eastAsia="仿宋_GB2312" w:hAnsi="宋体" w:hint="eastAsia"/>
          <w:b/>
          <w:color w:val="auto"/>
          <w:sz w:val="30"/>
          <w:szCs w:val="30"/>
        </w:rPr>
        <w:t xml:space="preserve">  </w:t>
      </w:r>
      <w:r>
        <w:rPr>
          <w:rFonts w:ascii="仿宋_GB2312" w:eastAsia="仿宋_GB2312" w:hAnsi="宋体" w:hint="eastAsia"/>
          <w:color w:val="auto"/>
          <w:sz w:val="30"/>
          <w:szCs w:val="30"/>
        </w:rPr>
        <w:t>关联</w:t>
      </w:r>
      <w:r>
        <w:rPr>
          <w:rFonts w:ascii="仿宋_GB2312" w:eastAsia="仿宋_GB2312" w:hAnsi="宋体"/>
          <w:color w:val="auto"/>
          <w:sz w:val="30"/>
          <w:szCs w:val="30"/>
        </w:rPr>
        <w:t>交易</w:t>
      </w:r>
      <w:r>
        <w:rPr>
          <w:rFonts w:ascii="仿宋_GB2312" w:eastAsia="仿宋_GB2312" w:hAnsi="宋体" w:hint="eastAsia"/>
          <w:color w:val="auto"/>
          <w:sz w:val="30"/>
          <w:szCs w:val="30"/>
        </w:rPr>
        <w:t>的报告</w:t>
      </w:r>
      <w:r>
        <w:rPr>
          <w:rFonts w:ascii="仿宋_GB2312" w:eastAsia="仿宋_GB2312" w:hAnsi="宋体"/>
          <w:color w:val="auto"/>
          <w:sz w:val="30"/>
          <w:szCs w:val="30"/>
        </w:rPr>
        <w:t>。</w:t>
      </w:r>
    </w:p>
    <w:p w:rsidR="005C402C" w:rsidRDefault="005C402C" w:rsidP="005C402C">
      <w:pPr>
        <w:pStyle w:val="ae"/>
        <w:widowControl w:val="0"/>
        <w:adjustRightInd w:val="0"/>
        <w:snapToGrid w:val="0"/>
        <w:spacing w:before="0" w:after="0" w:line="360" w:lineRule="auto"/>
        <w:ind w:firstLineChars="200" w:firstLine="600"/>
        <w:jc w:val="both"/>
        <w:rPr>
          <w:rFonts w:ascii="仿宋_GB2312" w:eastAsia="仿宋_GB2312" w:hAnsi="宋体"/>
          <w:color w:val="auto"/>
          <w:sz w:val="30"/>
          <w:szCs w:val="30"/>
        </w:rPr>
      </w:pPr>
      <w:r>
        <w:rPr>
          <w:rFonts w:ascii="仿宋_GB2312" w:eastAsia="仿宋_GB2312" w:hAnsi="宋体" w:hint="eastAsia"/>
          <w:color w:val="auto"/>
          <w:sz w:val="30"/>
          <w:szCs w:val="30"/>
        </w:rPr>
        <w:t>（一）一般关联交易应在批准后，由董事会办公室定期向关联交易控制委员会备案；董事会办公室应将备案事项抄送监事</w:t>
      </w:r>
      <w:r>
        <w:rPr>
          <w:rFonts w:ascii="仿宋_GB2312" w:eastAsia="仿宋_GB2312" w:hAnsi="宋体" w:hint="eastAsia"/>
          <w:color w:val="auto"/>
          <w:sz w:val="30"/>
          <w:szCs w:val="30"/>
        </w:rPr>
        <w:lastRenderedPageBreak/>
        <w:t>会。</w:t>
      </w:r>
    </w:p>
    <w:p w:rsidR="005C402C" w:rsidRDefault="005C402C" w:rsidP="005C402C">
      <w:pPr>
        <w:pStyle w:val="ae"/>
        <w:widowControl w:val="0"/>
        <w:adjustRightInd w:val="0"/>
        <w:snapToGrid w:val="0"/>
        <w:spacing w:before="0" w:after="0" w:line="360" w:lineRule="auto"/>
        <w:ind w:firstLineChars="200" w:firstLine="600"/>
        <w:jc w:val="both"/>
        <w:rPr>
          <w:rFonts w:ascii="仿宋_GB2312" w:eastAsia="仿宋_GB2312" w:hAnsi="宋体"/>
          <w:color w:val="auto"/>
          <w:sz w:val="30"/>
          <w:szCs w:val="30"/>
        </w:rPr>
      </w:pPr>
      <w:r>
        <w:rPr>
          <w:rFonts w:ascii="仿宋_GB2312" w:eastAsia="仿宋_GB2312" w:hAnsi="宋体" w:hint="eastAsia"/>
          <w:color w:val="auto"/>
          <w:sz w:val="30"/>
          <w:szCs w:val="30"/>
        </w:rPr>
        <w:t>（二）重大关联交易应在批准之日起1</w:t>
      </w:r>
      <w:r>
        <w:rPr>
          <w:rFonts w:ascii="仿宋_GB2312" w:eastAsia="仿宋_GB2312" w:hAnsi="宋体"/>
          <w:color w:val="auto"/>
          <w:sz w:val="30"/>
          <w:szCs w:val="30"/>
        </w:rPr>
        <w:t>0</w:t>
      </w:r>
      <w:r>
        <w:rPr>
          <w:rFonts w:ascii="仿宋_GB2312" w:eastAsia="仿宋_GB2312" w:hAnsi="宋体" w:hint="eastAsia"/>
          <w:color w:val="auto"/>
          <w:sz w:val="30"/>
          <w:szCs w:val="30"/>
        </w:rPr>
        <w:t>个工作日内，由董事会办公室报告监事会，并及时报监管部门。</w:t>
      </w:r>
    </w:p>
    <w:p w:rsidR="005C402C" w:rsidRDefault="005C402C" w:rsidP="005C402C">
      <w:pPr>
        <w:pStyle w:val="ae"/>
        <w:widowControl w:val="0"/>
        <w:adjustRightInd w:val="0"/>
        <w:snapToGrid w:val="0"/>
        <w:spacing w:before="0" w:after="0" w:line="360" w:lineRule="auto"/>
        <w:ind w:firstLineChars="200" w:firstLine="600"/>
        <w:jc w:val="both"/>
        <w:rPr>
          <w:rFonts w:ascii="仿宋_GB2312" w:eastAsia="仿宋_GB2312" w:hAnsi="宋体"/>
          <w:color w:val="auto"/>
          <w:sz w:val="30"/>
          <w:szCs w:val="30"/>
        </w:rPr>
      </w:pPr>
      <w:r>
        <w:rPr>
          <w:rFonts w:ascii="仿宋_GB2312" w:eastAsia="仿宋_GB2312" w:hAnsi="宋体" w:hint="eastAsia"/>
          <w:color w:val="auto"/>
          <w:sz w:val="30"/>
          <w:szCs w:val="30"/>
        </w:rPr>
        <w:t>（三）与本行董事、总行高级管理人员有关联关系的关联交易应当在批准之日起1</w:t>
      </w:r>
      <w:r>
        <w:rPr>
          <w:rFonts w:ascii="仿宋_GB2312" w:eastAsia="仿宋_GB2312" w:hAnsi="宋体"/>
          <w:color w:val="auto"/>
          <w:sz w:val="30"/>
          <w:szCs w:val="30"/>
        </w:rPr>
        <w:t>0</w:t>
      </w:r>
      <w:r>
        <w:rPr>
          <w:rFonts w:ascii="仿宋_GB2312" w:eastAsia="仿宋_GB2312" w:hAnsi="宋体" w:hint="eastAsia"/>
          <w:color w:val="auto"/>
          <w:sz w:val="30"/>
          <w:szCs w:val="30"/>
        </w:rPr>
        <w:t>个工作日内由董事会办公室报告监事会。</w:t>
      </w:r>
    </w:p>
    <w:p w:rsidR="005C402C" w:rsidRDefault="005C402C" w:rsidP="005C402C">
      <w:pPr>
        <w:pStyle w:val="ae"/>
        <w:widowControl w:val="0"/>
        <w:tabs>
          <w:tab w:val="left" w:pos="2807"/>
        </w:tabs>
        <w:adjustRightInd w:val="0"/>
        <w:snapToGrid w:val="0"/>
        <w:spacing w:before="0" w:after="0" w:line="360" w:lineRule="auto"/>
        <w:ind w:firstLineChars="200" w:firstLine="602"/>
        <w:jc w:val="both"/>
        <w:rPr>
          <w:rFonts w:ascii="仿宋_GB2312" w:eastAsia="仿宋_GB2312" w:hAnsi="宋体"/>
          <w:color w:val="auto"/>
          <w:sz w:val="30"/>
          <w:szCs w:val="30"/>
        </w:rPr>
      </w:pPr>
      <w:r>
        <w:rPr>
          <w:rFonts w:ascii="仿宋_GB2312" w:eastAsia="仿宋_GB2312" w:hAnsi="宋体" w:hint="eastAsia"/>
          <w:b/>
          <w:color w:val="auto"/>
          <w:sz w:val="30"/>
          <w:szCs w:val="30"/>
        </w:rPr>
        <w:t>第三十六</w:t>
      </w:r>
      <w:r>
        <w:rPr>
          <w:rFonts w:ascii="仿宋_GB2312" w:eastAsia="仿宋_GB2312" w:hAnsi="宋体"/>
          <w:b/>
          <w:color w:val="auto"/>
          <w:sz w:val="30"/>
          <w:szCs w:val="30"/>
        </w:rPr>
        <w:t>条</w:t>
      </w:r>
      <w:r>
        <w:rPr>
          <w:rFonts w:ascii="仿宋_GB2312" w:eastAsia="仿宋_GB2312" w:hAnsi="宋体" w:hint="eastAsia"/>
          <w:color w:val="auto"/>
          <w:sz w:val="30"/>
          <w:szCs w:val="30"/>
        </w:rPr>
        <w:t xml:space="preserve">  关联</w:t>
      </w:r>
      <w:r>
        <w:rPr>
          <w:rFonts w:ascii="仿宋_GB2312" w:eastAsia="仿宋_GB2312" w:hAnsi="宋体"/>
          <w:color w:val="auto"/>
          <w:sz w:val="30"/>
          <w:szCs w:val="30"/>
        </w:rPr>
        <w:t>交易</w:t>
      </w:r>
      <w:r>
        <w:rPr>
          <w:rFonts w:ascii="仿宋_GB2312" w:eastAsia="仿宋_GB2312" w:hAnsi="宋体" w:hint="eastAsia"/>
          <w:color w:val="auto"/>
          <w:sz w:val="30"/>
          <w:szCs w:val="30"/>
        </w:rPr>
        <w:t>发起</w:t>
      </w:r>
      <w:r>
        <w:rPr>
          <w:rFonts w:ascii="仿宋_GB2312" w:eastAsia="仿宋_GB2312" w:hAnsi="宋体"/>
          <w:color w:val="auto"/>
          <w:sz w:val="30"/>
          <w:szCs w:val="30"/>
        </w:rPr>
        <w:t>部门应按季向总行</w:t>
      </w:r>
      <w:r>
        <w:rPr>
          <w:rFonts w:ascii="仿宋_GB2312" w:eastAsia="仿宋_GB2312" w:hAnsi="宋体" w:hint="eastAsia"/>
          <w:color w:val="auto"/>
          <w:sz w:val="30"/>
          <w:szCs w:val="30"/>
        </w:rPr>
        <w:t>董事会办公室</w:t>
      </w:r>
      <w:r>
        <w:rPr>
          <w:rFonts w:ascii="仿宋_GB2312" w:eastAsia="仿宋_GB2312" w:hAnsi="宋体"/>
          <w:color w:val="auto"/>
          <w:sz w:val="30"/>
          <w:szCs w:val="30"/>
        </w:rPr>
        <w:t>报送已审批关联交易执行情况。</w:t>
      </w:r>
      <w:r>
        <w:rPr>
          <w:rFonts w:ascii="仿宋_GB2312" w:eastAsia="仿宋_GB2312" w:hAnsi="宋体" w:hint="eastAsia"/>
          <w:color w:val="auto"/>
          <w:sz w:val="30"/>
          <w:szCs w:val="30"/>
        </w:rPr>
        <w:t>董事会办公室</w:t>
      </w:r>
      <w:r>
        <w:rPr>
          <w:rFonts w:ascii="仿宋_GB2312" w:eastAsia="仿宋_GB2312" w:hAnsi="宋体"/>
          <w:color w:val="auto"/>
          <w:sz w:val="30"/>
          <w:szCs w:val="30"/>
        </w:rPr>
        <w:t>按季汇总全行关联交易信息，形成定期报告报送监管部门。</w:t>
      </w:r>
    </w:p>
    <w:p w:rsidR="005C402C" w:rsidRDefault="005C402C" w:rsidP="005C402C">
      <w:pPr>
        <w:pStyle w:val="ae"/>
        <w:widowControl w:val="0"/>
        <w:tabs>
          <w:tab w:val="left" w:pos="2807"/>
        </w:tabs>
        <w:adjustRightInd w:val="0"/>
        <w:snapToGrid w:val="0"/>
        <w:spacing w:before="0" w:after="0" w:line="360" w:lineRule="auto"/>
        <w:ind w:firstLineChars="200" w:firstLine="602"/>
        <w:jc w:val="both"/>
        <w:rPr>
          <w:rFonts w:ascii="仿宋_GB2312" w:eastAsia="仿宋_GB2312" w:hAnsi="宋体"/>
          <w:color w:val="auto"/>
          <w:sz w:val="30"/>
          <w:szCs w:val="30"/>
        </w:rPr>
      </w:pPr>
      <w:r>
        <w:rPr>
          <w:rFonts w:ascii="仿宋_GB2312" w:eastAsia="仿宋_GB2312" w:hAnsi="宋体" w:hint="eastAsia"/>
          <w:b/>
          <w:color w:val="auto"/>
          <w:sz w:val="30"/>
          <w:szCs w:val="30"/>
        </w:rPr>
        <w:t>第三十七</w:t>
      </w:r>
      <w:r>
        <w:rPr>
          <w:rFonts w:ascii="仿宋_GB2312" w:eastAsia="仿宋_GB2312" w:hAnsi="宋体"/>
          <w:b/>
          <w:color w:val="auto"/>
          <w:sz w:val="30"/>
          <w:szCs w:val="30"/>
        </w:rPr>
        <w:t>条</w:t>
      </w:r>
      <w:r>
        <w:rPr>
          <w:rFonts w:ascii="仿宋_GB2312" w:eastAsia="仿宋_GB2312" w:hAnsi="宋体" w:hint="eastAsia"/>
          <w:color w:val="auto"/>
          <w:sz w:val="30"/>
          <w:szCs w:val="30"/>
        </w:rPr>
        <w:t xml:space="preserve">  </w:t>
      </w:r>
      <w:r>
        <w:rPr>
          <w:rFonts w:ascii="仿宋_GB2312" w:eastAsia="仿宋_GB2312" w:hAnsi="宋体"/>
          <w:color w:val="auto"/>
          <w:sz w:val="30"/>
          <w:szCs w:val="30"/>
        </w:rPr>
        <w:t>董事会办公室应及时将董事会的审</w:t>
      </w:r>
      <w:r>
        <w:rPr>
          <w:rFonts w:ascii="仿宋_GB2312" w:eastAsia="仿宋_GB2312" w:hAnsi="宋体" w:hint="eastAsia"/>
          <w:color w:val="auto"/>
          <w:sz w:val="30"/>
          <w:szCs w:val="30"/>
        </w:rPr>
        <w:t>查结果和决议向监管部门、境内证券监督管理机构或香港联交所报告或备案。</w:t>
      </w:r>
    </w:p>
    <w:p w:rsidR="005C402C" w:rsidRDefault="005C402C" w:rsidP="005C402C">
      <w:pPr>
        <w:pStyle w:val="ae"/>
        <w:widowControl w:val="0"/>
        <w:adjustRightInd w:val="0"/>
        <w:snapToGrid w:val="0"/>
        <w:spacing w:before="0" w:after="0" w:line="360" w:lineRule="auto"/>
        <w:ind w:firstLineChars="200" w:firstLine="602"/>
        <w:jc w:val="both"/>
        <w:rPr>
          <w:rFonts w:ascii="仿宋_GB2312" w:eastAsia="仿宋_GB2312" w:hAnsi="宋体"/>
          <w:color w:val="auto"/>
          <w:sz w:val="30"/>
          <w:szCs w:val="30"/>
        </w:rPr>
      </w:pPr>
      <w:r>
        <w:rPr>
          <w:rFonts w:ascii="仿宋_GB2312" w:eastAsia="仿宋_GB2312" w:hAnsi="宋体" w:hint="eastAsia"/>
          <w:b/>
          <w:color w:val="auto"/>
          <w:sz w:val="30"/>
          <w:szCs w:val="30"/>
        </w:rPr>
        <w:t>第三十八</w:t>
      </w:r>
      <w:r>
        <w:rPr>
          <w:rFonts w:ascii="仿宋_GB2312" w:eastAsia="仿宋_GB2312" w:hAnsi="宋体"/>
          <w:b/>
          <w:color w:val="auto"/>
          <w:sz w:val="30"/>
          <w:szCs w:val="30"/>
        </w:rPr>
        <w:t>条</w:t>
      </w:r>
      <w:r>
        <w:rPr>
          <w:rFonts w:ascii="仿宋_GB2312" w:eastAsia="仿宋_GB2312" w:hAnsi="宋体" w:hint="eastAsia"/>
          <w:color w:val="auto"/>
          <w:sz w:val="30"/>
          <w:szCs w:val="30"/>
        </w:rPr>
        <w:t xml:space="preserve">  关联</w:t>
      </w:r>
      <w:r>
        <w:rPr>
          <w:rFonts w:ascii="仿宋_GB2312" w:eastAsia="仿宋_GB2312" w:hAnsi="宋体"/>
          <w:color w:val="auto"/>
          <w:sz w:val="30"/>
          <w:szCs w:val="30"/>
        </w:rPr>
        <w:t>交易的披露。</w:t>
      </w:r>
      <w:r>
        <w:rPr>
          <w:rFonts w:ascii="仿宋_GB2312" w:eastAsia="仿宋_GB2312" w:hAnsi="宋体" w:hint="eastAsia"/>
          <w:color w:val="auto"/>
          <w:sz w:val="30"/>
          <w:szCs w:val="30"/>
        </w:rPr>
        <w:t>本行应当遵循银保监会、证监会等本行股票上市地监管机构和上交所、联交所等本行股票上市的证券交易所规定，按时提交相关材料，履行申报、公告程序，披露关联方与关联交易情况。</w:t>
      </w:r>
    </w:p>
    <w:p w:rsidR="005C402C" w:rsidRDefault="005C402C" w:rsidP="005C402C">
      <w:pPr>
        <w:pStyle w:val="ae"/>
        <w:widowControl w:val="0"/>
        <w:adjustRightInd w:val="0"/>
        <w:snapToGrid w:val="0"/>
        <w:spacing w:before="0" w:after="0" w:line="360" w:lineRule="auto"/>
        <w:ind w:firstLineChars="200" w:firstLine="602"/>
        <w:jc w:val="both"/>
        <w:rPr>
          <w:rFonts w:ascii="仿宋_GB2312" w:eastAsia="仿宋_GB2312" w:hAnsi="宋体"/>
          <w:color w:val="auto"/>
          <w:sz w:val="30"/>
          <w:szCs w:val="30"/>
        </w:rPr>
      </w:pPr>
      <w:r>
        <w:rPr>
          <w:rFonts w:ascii="仿宋_GB2312" w:eastAsia="仿宋_GB2312" w:hAnsi="宋体" w:hint="eastAsia"/>
          <w:b/>
          <w:color w:val="auto"/>
          <w:sz w:val="30"/>
          <w:szCs w:val="30"/>
        </w:rPr>
        <w:t>第三十九</w:t>
      </w:r>
      <w:r>
        <w:rPr>
          <w:rFonts w:ascii="仿宋_GB2312" w:eastAsia="仿宋_GB2312" w:hAnsi="宋体"/>
          <w:b/>
          <w:color w:val="auto"/>
          <w:sz w:val="30"/>
          <w:szCs w:val="30"/>
        </w:rPr>
        <w:t>条</w:t>
      </w:r>
      <w:r>
        <w:rPr>
          <w:rFonts w:ascii="仿宋_GB2312" w:eastAsia="仿宋_GB2312" w:hAnsi="宋体" w:hint="eastAsia"/>
          <w:color w:val="auto"/>
          <w:sz w:val="30"/>
          <w:szCs w:val="30"/>
        </w:rPr>
        <w:t xml:space="preserve">  </w:t>
      </w:r>
      <w:r>
        <w:rPr>
          <w:rFonts w:ascii="仿宋_GB2312" w:eastAsia="仿宋_GB2312" w:cs="宋体" w:hint="eastAsia"/>
          <w:sz w:val="30"/>
          <w:szCs w:val="30"/>
        </w:rPr>
        <w:t>本行关联交易的披露形式</w:t>
      </w:r>
      <w:r>
        <w:rPr>
          <w:rFonts w:ascii="仿宋_GB2312" w:eastAsia="仿宋_GB2312" w:hAnsi="宋体" w:hint="eastAsia"/>
          <w:color w:val="auto"/>
          <w:sz w:val="30"/>
          <w:szCs w:val="30"/>
        </w:rPr>
        <w:t>包括临时报告、定期报告（含非财务报告部分及财务报告部分）。其中</w:t>
      </w:r>
      <w:r>
        <w:rPr>
          <w:rFonts w:ascii="仿宋_GB2312" w:eastAsia="仿宋_GB2312" w:hAnsi="宋体"/>
          <w:color w:val="auto"/>
          <w:sz w:val="30"/>
          <w:szCs w:val="30"/>
        </w:rPr>
        <w:t>：</w:t>
      </w:r>
    </w:p>
    <w:p w:rsidR="005C402C" w:rsidRDefault="005C402C" w:rsidP="005C402C">
      <w:pPr>
        <w:pStyle w:val="ae"/>
        <w:widowControl w:val="0"/>
        <w:adjustRightInd w:val="0"/>
        <w:snapToGrid w:val="0"/>
        <w:spacing w:before="0" w:after="0" w:line="360" w:lineRule="auto"/>
        <w:ind w:firstLineChars="200" w:firstLine="600"/>
        <w:jc w:val="both"/>
        <w:rPr>
          <w:rFonts w:ascii="仿宋_GB2312" w:eastAsia="仿宋_GB2312" w:hAnsi="宋体"/>
          <w:color w:val="auto"/>
          <w:sz w:val="30"/>
          <w:szCs w:val="30"/>
        </w:rPr>
      </w:pPr>
      <w:r>
        <w:rPr>
          <w:rFonts w:ascii="仿宋_GB2312" w:eastAsia="仿宋_GB2312" w:hAnsi="宋体" w:hint="eastAsia"/>
          <w:color w:val="auto"/>
          <w:sz w:val="30"/>
          <w:szCs w:val="30"/>
        </w:rPr>
        <w:t>临时报告和定期报告中非财务报告部分的关联方及关联交易的披露应当遵守《上海</w:t>
      </w:r>
      <w:r>
        <w:rPr>
          <w:rFonts w:ascii="仿宋_GB2312" w:eastAsia="仿宋_GB2312" w:hAnsi="宋体"/>
          <w:color w:val="auto"/>
          <w:sz w:val="30"/>
          <w:szCs w:val="30"/>
        </w:rPr>
        <w:t>证券交易所</w:t>
      </w:r>
      <w:r>
        <w:rPr>
          <w:rFonts w:ascii="仿宋_GB2312" w:eastAsia="仿宋_GB2312" w:hAnsi="宋体" w:hint="eastAsia"/>
          <w:color w:val="auto"/>
          <w:sz w:val="30"/>
          <w:szCs w:val="30"/>
        </w:rPr>
        <w:t>股票上市规则》、《上海证券交易所上市公司关联交易实施指引》、《香港联合交易所有限公司证券上市规则》、《公开发行证券的公司信息披露内容与格式准则第2号&lt;年度报告的内容与格式&gt;》等有关规定。</w:t>
      </w:r>
    </w:p>
    <w:p w:rsidR="005C402C" w:rsidRDefault="005C402C" w:rsidP="005C402C">
      <w:pPr>
        <w:pStyle w:val="ae"/>
        <w:widowControl w:val="0"/>
        <w:adjustRightInd w:val="0"/>
        <w:snapToGrid w:val="0"/>
        <w:spacing w:before="0" w:after="0" w:line="360" w:lineRule="auto"/>
        <w:ind w:firstLineChars="200" w:firstLine="600"/>
        <w:jc w:val="both"/>
        <w:rPr>
          <w:rFonts w:ascii="仿宋_GB2312" w:eastAsia="仿宋_GB2312" w:hAnsi="宋体"/>
          <w:color w:val="auto"/>
          <w:sz w:val="30"/>
          <w:szCs w:val="30"/>
        </w:rPr>
      </w:pPr>
      <w:r>
        <w:rPr>
          <w:rFonts w:ascii="仿宋_GB2312" w:eastAsia="仿宋_GB2312" w:hAnsi="宋体" w:hint="eastAsia"/>
          <w:color w:val="auto"/>
          <w:sz w:val="30"/>
          <w:szCs w:val="30"/>
        </w:rPr>
        <w:t>定期报告中财务报告部分（会计报表附注）的关联方及关联</w:t>
      </w:r>
      <w:r>
        <w:rPr>
          <w:rFonts w:ascii="仿宋_GB2312" w:eastAsia="仿宋_GB2312" w:hAnsi="宋体" w:hint="eastAsia"/>
          <w:color w:val="auto"/>
          <w:sz w:val="30"/>
          <w:szCs w:val="30"/>
        </w:rPr>
        <w:lastRenderedPageBreak/>
        <w:t>交易披露应遵守《企业会计准则第36号—关联方披露》、《国际财务准则》的有关规定。</w:t>
      </w:r>
    </w:p>
    <w:p w:rsidR="005C402C" w:rsidRDefault="005C402C" w:rsidP="005C402C">
      <w:pPr>
        <w:pStyle w:val="ae"/>
        <w:widowControl w:val="0"/>
        <w:adjustRightInd w:val="0"/>
        <w:snapToGrid w:val="0"/>
        <w:spacing w:before="0" w:after="0" w:line="360" w:lineRule="auto"/>
        <w:ind w:firstLineChars="200" w:firstLine="602"/>
        <w:jc w:val="both"/>
        <w:rPr>
          <w:rFonts w:ascii="仿宋_GB2312" w:eastAsia="仿宋_GB2312" w:hAnsi="宋体"/>
          <w:color w:val="auto"/>
          <w:sz w:val="30"/>
          <w:szCs w:val="30"/>
        </w:rPr>
      </w:pPr>
      <w:r>
        <w:rPr>
          <w:rFonts w:ascii="仿宋_GB2312" w:eastAsia="仿宋_GB2312" w:hAnsi="宋体" w:hint="eastAsia"/>
          <w:b/>
          <w:color w:val="auto"/>
          <w:sz w:val="30"/>
          <w:szCs w:val="30"/>
        </w:rPr>
        <w:t>第四十条</w:t>
      </w:r>
      <w:r>
        <w:rPr>
          <w:rFonts w:ascii="仿宋_GB2312" w:eastAsia="仿宋_GB2312" w:hAnsi="宋体" w:hint="eastAsia"/>
          <w:color w:val="auto"/>
          <w:sz w:val="30"/>
          <w:szCs w:val="30"/>
        </w:rPr>
        <w:t xml:space="preserve">  需要</w:t>
      </w:r>
      <w:r>
        <w:rPr>
          <w:rFonts w:ascii="仿宋_GB2312" w:eastAsia="仿宋_GB2312" w:hAnsi="宋体"/>
          <w:color w:val="auto"/>
          <w:sz w:val="30"/>
          <w:szCs w:val="30"/>
        </w:rPr>
        <w:t>及时披露的关联交易</w:t>
      </w:r>
      <w:r>
        <w:rPr>
          <w:rFonts w:ascii="仿宋_GB2312" w:eastAsia="仿宋_GB2312" w:hAnsi="宋体" w:hint="eastAsia"/>
          <w:color w:val="auto"/>
          <w:sz w:val="30"/>
          <w:szCs w:val="30"/>
        </w:rPr>
        <w:t>类别</w:t>
      </w:r>
      <w:r>
        <w:rPr>
          <w:rFonts w:ascii="仿宋_GB2312" w:eastAsia="仿宋_GB2312" w:hAnsi="宋体"/>
          <w:color w:val="auto"/>
          <w:sz w:val="30"/>
          <w:szCs w:val="30"/>
        </w:rPr>
        <w:t>参见</w:t>
      </w:r>
      <w:r>
        <w:rPr>
          <w:rFonts w:ascii="仿宋_GB2312" w:eastAsia="仿宋_GB2312" w:hAnsi="宋体" w:hint="eastAsia"/>
          <w:color w:val="auto"/>
          <w:sz w:val="30"/>
          <w:szCs w:val="30"/>
        </w:rPr>
        <w:t>本办法</w:t>
      </w:r>
      <w:r>
        <w:rPr>
          <w:rFonts w:ascii="仿宋_GB2312" w:eastAsia="仿宋_GB2312" w:hAnsi="宋体"/>
          <w:color w:val="auto"/>
          <w:sz w:val="30"/>
          <w:szCs w:val="30"/>
        </w:rPr>
        <w:t>第</w:t>
      </w:r>
      <w:r>
        <w:rPr>
          <w:rFonts w:ascii="仿宋_GB2312" w:eastAsia="仿宋_GB2312" w:hAnsi="宋体" w:hint="eastAsia"/>
          <w:color w:val="auto"/>
          <w:sz w:val="30"/>
          <w:szCs w:val="30"/>
        </w:rPr>
        <w:t>二十二</w:t>
      </w:r>
      <w:r>
        <w:rPr>
          <w:rFonts w:ascii="仿宋_GB2312" w:eastAsia="仿宋_GB2312" w:hAnsi="宋体"/>
          <w:color w:val="auto"/>
          <w:sz w:val="30"/>
          <w:szCs w:val="30"/>
        </w:rPr>
        <w:t>条规定。</w:t>
      </w:r>
    </w:p>
    <w:p w:rsidR="005C402C" w:rsidRDefault="005C402C" w:rsidP="005C402C">
      <w:pPr>
        <w:pStyle w:val="ae"/>
        <w:widowControl w:val="0"/>
        <w:adjustRightInd w:val="0"/>
        <w:snapToGrid w:val="0"/>
        <w:spacing w:before="0" w:after="0" w:line="360" w:lineRule="auto"/>
        <w:ind w:firstLineChars="200" w:firstLine="602"/>
        <w:jc w:val="both"/>
        <w:rPr>
          <w:rFonts w:ascii="仿宋_GB2312" w:eastAsia="仿宋_GB2312" w:hAnsi="宋体"/>
          <w:b/>
          <w:color w:val="auto"/>
          <w:sz w:val="30"/>
          <w:szCs w:val="30"/>
        </w:rPr>
      </w:pPr>
      <w:r>
        <w:rPr>
          <w:rFonts w:ascii="仿宋_GB2312" w:eastAsia="仿宋_GB2312" w:hAnsi="宋体" w:hint="eastAsia"/>
          <w:b/>
          <w:color w:val="auto"/>
          <w:sz w:val="30"/>
          <w:szCs w:val="30"/>
        </w:rPr>
        <w:t>第四十一</w:t>
      </w:r>
      <w:r>
        <w:rPr>
          <w:rFonts w:ascii="仿宋_GB2312" w:eastAsia="仿宋_GB2312" w:hAnsi="宋体"/>
          <w:b/>
          <w:color w:val="auto"/>
          <w:sz w:val="30"/>
          <w:szCs w:val="30"/>
        </w:rPr>
        <w:t>条</w:t>
      </w:r>
      <w:r>
        <w:rPr>
          <w:rFonts w:ascii="仿宋_GB2312" w:eastAsia="仿宋_GB2312" w:hAnsi="宋体" w:hint="eastAsia"/>
          <w:b/>
          <w:color w:val="auto"/>
          <w:sz w:val="30"/>
          <w:szCs w:val="30"/>
        </w:rPr>
        <w:t xml:space="preserve">  </w:t>
      </w:r>
      <w:r>
        <w:rPr>
          <w:rFonts w:ascii="仿宋_GB2312" w:eastAsia="仿宋_GB2312" w:hAnsi="宋体" w:hint="eastAsia"/>
          <w:color w:val="auto"/>
          <w:sz w:val="30"/>
          <w:szCs w:val="30"/>
        </w:rPr>
        <w:t>本行应当在会计报表附注中披露下列事项：</w:t>
      </w:r>
    </w:p>
    <w:p w:rsidR="005C402C" w:rsidRDefault="005C402C" w:rsidP="005C402C">
      <w:pPr>
        <w:pStyle w:val="ae"/>
        <w:widowControl w:val="0"/>
        <w:adjustRightInd w:val="0"/>
        <w:snapToGrid w:val="0"/>
        <w:spacing w:before="0" w:after="0" w:line="360" w:lineRule="auto"/>
        <w:ind w:firstLineChars="200" w:firstLine="600"/>
        <w:jc w:val="both"/>
        <w:rPr>
          <w:rFonts w:ascii="仿宋_GB2312" w:eastAsia="仿宋_GB2312" w:hAnsi="宋体"/>
          <w:color w:val="auto"/>
          <w:sz w:val="30"/>
          <w:szCs w:val="30"/>
        </w:rPr>
      </w:pPr>
      <w:r>
        <w:rPr>
          <w:rFonts w:ascii="仿宋_GB2312" w:eastAsia="仿宋_GB2312" w:hAnsi="宋体" w:hint="eastAsia"/>
          <w:color w:val="auto"/>
          <w:sz w:val="30"/>
          <w:szCs w:val="30"/>
        </w:rPr>
        <w:t>（一）关联方与本行关系的性质；</w:t>
      </w:r>
    </w:p>
    <w:p w:rsidR="005C402C" w:rsidRDefault="005C402C" w:rsidP="005C402C">
      <w:pPr>
        <w:pStyle w:val="ae"/>
        <w:widowControl w:val="0"/>
        <w:adjustRightInd w:val="0"/>
        <w:snapToGrid w:val="0"/>
        <w:spacing w:before="0" w:after="0" w:line="360" w:lineRule="auto"/>
        <w:ind w:firstLineChars="200" w:firstLine="600"/>
        <w:jc w:val="both"/>
        <w:rPr>
          <w:rFonts w:ascii="仿宋_GB2312" w:eastAsia="仿宋_GB2312" w:hAnsi="宋体"/>
          <w:color w:val="auto"/>
          <w:sz w:val="30"/>
          <w:szCs w:val="30"/>
        </w:rPr>
      </w:pPr>
      <w:r>
        <w:rPr>
          <w:rFonts w:ascii="仿宋_GB2312" w:eastAsia="仿宋_GB2312" w:hAnsi="宋体" w:hint="eastAsia"/>
          <w:color w:val="auto"/>
          <w:sz w:val="30"/>
          <w:szCs w:val="30"/>
        </w:rPr>
        <w:t>（二）关联自然人身份的基本情况；</w:t>
      </w:r>
    </w:p>
    <w:p w:rsidR="005C402C" w:rsidRDefault="005C402C" w:rsidP="005C402C">
      <w:pPr>
        <w:pStyle w:val="ae"/>
        <w:widowControl w:val="0"/>
        <w:adjustRightInd w:val="0"/>
        <w:snapToGrid w:val="0"/>
        <w:spacing w:before="0" w:after="0" w:line="360" w:lineRule="auto"/>
        <w:ind w:firstLineChars="200" w:firstLine="600"/>
        <w:jc w:val="both"/>
        <w:rPr>
          <w:rFonts w:ascii="仿宋_GB2312" w:eastAsia="仿宋_GB2312" w:hAnsi="宋体"/>
          <w:color w:val="auto"/>
          <w:sz w:val="30"/>
          <w:szCs w:val="30"/>
        </w:rPr>
      </w:pPr>
      <w:r>
        <w:rPr>
          <w:rFonts w:ascii="仿宋_GB2312" w:eastAsia="仿宋_GB2312" w:hAnsi="宋体" w:hint="eastAsia"/>
          <w:color w:val="auto"/>
          <w:sz w:val="30"/>
          <w:szCs w:val="30"/>
        </w:rPr>
        <w:t>（三）关联法人或其他组织的名称、经济性质或类型、主营业务、法定代表人、注册地、注册资本及其变化；</w:t>
      </w:r>
    </w:p>
    <w:p w:rsidR="005C402C" w:rsidRDefault="005C402C" w:rsidP="005C402C">
      <w:pPr>
        <w:pStyle w:val="ae"/>
        <w:widowControl w:val="0"/>
        <w:adjustRightInd w:val="0"/>
        <w:snapToGrid w:val="0"/>
        <w:spacing w:before="0" w:after="0" w:line="360" w:lineRule="auto"/>
        <w:ind w:firstLineChars="200" w:firstLine="600"/>
        <w:jc w:val="both"/>
        <w:rPr>
          <w:rFonts w:ascii="仿宋_GB2312" w:eastAsia="仿宋_GB2312" w:hAnsi="宋体"/>
          <w:color w:val="auto"/>
          <w:sz w:val="30"/>
          <w:szCs w:val="30"/>
        </w:rPr>
      </w:pPr>
      <w:r>
        <w:rPr>
          <w:rFonts w:ascii="仿宋_GB2312" w:eastAsia="仿宋_GB2312" w:hAnsi="宋体" w:hint="eastAsia"/>
          <w:color w:val="auto"/>
          <w:sz w:val="30"/>
          <w:szCs w:val="30"/>
        </w:rPr>
        <w:t>（四）关联方所持本行股份或权益及其变化；</w:t>
      </w:r>
    </w:p>
    <w:p w:rsidR="005C402C" w:rsidRDefault="005C402C" w:rsidP="005C402C">
      <w:pPr>
        <w:pStyle w:val="ae"/>
        <w:widowControl w:val="0"/>
        <w:adjustRightInd w:val="0"/>
        <w:snapToGrid w:val="0"/>
        <w:spacing w:before="0" w:after="0" w:line="360" w:lineRule="auto"/>
        <w:ind w:firstLineChars="200" w:firstLine="600"/>
        <w:jc w:val="both"/>
        <w:rPr>
          <w:rFonts w:ascii="仿宋_GB2312" w:eastAsia="仿宋_GB2312" w:hAnsi="宋体"/>
          <w:color w:val="auto"/>
          <w:sz w:val="30"/>
          <w:szCs w:val="30"/>
        </w:rPr>
      </w:pPr>
      <w:r>
        <w:rPr>
          <w:rFonts w:ascii="仿宋_GB2312" w:eastAsia="仿宋_GB2312" w:hAnsi="宋体" w:hint="eastAsia"/>
          <w:color w:val="auto"/>
          <w:sz w:val="30"/>
          <w:szCs w:val="30"/>
        </w:rPr>
        <w:t xml:space="preserve">（五）本办法第九条第（二）款签署协议的主要内容； </w:t>
      </w:r>
    </w:p>
    <w:p w:rsidR="005C402C" w:rsidRDefault="005C402C" w:rsidP="005C402C">
      <w:pPr>
        <w:pStyle w:val="ae"/>
        <w:widowControl w:val="0"/>
        <w:adjustRightInd w:val="0"/>
        <w:snapToGrid w:val="0"/>
        <w:spacing w:before="0" w:after="0" w:line="360" w:lineRule="auto"/>
        <w:ind w:firstLineChars="200" w:firstLine="600"/>
        <w:jc w:val="both"/>
        <w:rPr>
          <w:rFonts w:ascii="仿宋_GB2312" w:eastAsia="仿宋_GB2312" w:hAnsi="宋体"/>
          <w:color w:val="auto"/>
          <w:sz w:val="30"/>
          <w:szCs w:val="30"/>
        </w:rPr>
      </w:pPr>
      <w:r>
        <w:rPr>
          <w:rFonts w:ascii="仿宋_GB2312" w:eastAsia="仿宋_GB2312" w:hAnsi="宋体" w:hint="eastAsia"/>
          <w:color w:val="auto"/>
          <w:sz w:val="30"/>
          <w:szCs w:val="30"/>
        </w:rPr>
        <w:t>（六）关联交易的类型、金额及相应比例；</w:t>
      </w:r>
    </w:p>
    <w:p w:rsidR="005C402C" w:rsidRDefault="005C402C" w:rsidP="005C402C">
      <w:pPr>
        <w:pStyle w:val="ae"/>
        <w:widowControl w:val="0"/>
        <w:adjustRightInd w:val="0"/>
        <w:snapToGrid w:val="0"/>
        <w:spacing w:before="0" w:after="0" w:line="360" w:lineRule="auto"/>
        <w:ind w:firstLineChars="200" w:firstLine="600"/>
        <w:jc w:val="both"/>
        <w:rPr>
          <w:rFonts w:ascii="仿宋_GB2312" w:eastAsia="仿宋_GB2312" w:hAnsi="宋体"/>
          <w:color w:val="auto"/>
          <w:sz w:val="30"/>
          <w:szCs w:val="30"/>
        </w:rPr>
      </w:pPr>
      <w:r>
        <w:rPr>
          <w:rFonts w:ascii="仿宋_GB2312" w:eastAsia="仿宋_GB2312" w:hAnsi="宋体" w:hint="eastAsia"/>
          <w:color w:val="auto"/>
          <w:sz w:val="30"/>
          <w:szCs w:val="30"/>
        </w:rPr>
        <w:t>（七）关联交易未结算项目金额及相应比例；</w:t>
      </w:r>
    </w:p>
    <w:p w:rsidR="005C402C" w:rsidRDefault="005C402C" w:rsidP="005C402C">
      <w:pPr>
        <w:pStyle w:val="ae"/>
        <w:widowControl w:val="0"/>
        <w:adjustRightInd w:val="0"/>
        <w:snapToGrid w:val="0"/>
        <w:spacing w:before="0" w:after="0" w:line="360" w:lineRule="auto"/>
        <w:ind w:firstLineChars="200" w:firstLine="600"/>
        <w:jc w:val="both"/>
        <w:rPr>
          <w:rFonts w:ascii="仿宋_GB2312" w:eastAsia="仿宋_GB2312" w:hAnsi="宋体"/>
          <w:color w:val="auto"/>
          <w:sz w:val="30"/>
          <w:szCs w:val="30"/>
        </w:rPr>
      </w:pPr>
      <w:r>
        <w:rPr>
          <w:rFonts w:ascii="仿宋_GB2312" w:eastAsia="仿宋_GB2312" w:hAnsi="宋体" w:hint="eastAsia"/>
          <w:color w:val="auto"/>
          <w:sz w:val="30"/>
          <w:szCs w:val="30"/>
        </w:rPr>
        <w:t>（八）关联交易的定价政策；</w:t>
      </w:r>
    </w:p>
    <w:p w:rsidR="005C402C" w:rsidRDefault="005C402C" w:rsidP="005C402C">
      <w:pPr>
        <w:pStyle w:val="ae"/>
        <w:widowControl w:val="0"/>
        <w:adjustRightInd w:val="0"/>
        <w:snapToGrid w:val="0"/>
        <w:spacing w:before="0" w:after="0" w:line="360" w:lineRule="auto"/>
        <w:ind w:firstLineChars="200" w:firstLine="600"/>
        <w:jc w:val="both"/>
        <w:rPr>
          <w:rFonts w:ascii="仿宋_GB2312" w:eastAsia="仿宋_GB2312" w:hAnsi="宋体"/>
          <w:color w:val="auto"/>
          <w:sz w:val="30"/>
          <w:szCs w:val="30"/>
        </w:rPr>
      </w:pPr>
      <w:r>
        <w:rPr>
          <w:rFonts w:ascii="仿宋_GB2312" w:eastAsia="仿宋_GB2312" w:hAnsi="宋体" w:hint="eastAsia"/>
          <w:color w:val="auto"/>
          <w:sz w:val="30"/>
          <w:szCs w:val="30"/>
        </w:rPr>
        <w:t>（九）银报监会、证监会等本行股票上市地监管机构及上交所、联交所等本行股票上市的证券交易所认为需要披露的其他事项。</w:t>
      </w:r>
    </w:p>
    <w:p w:rsidR="005C402C" w:rsidRDefault="005C402C" w:rsidP="005C402C">
      <w:pPr>
        <w:pStyle w:val="ae"/>
        <w:widowControl w:val="0"/>
        <w:adjustRightInd w:val="0"/>
        <w:snapToGrid w:val="0"/>
        <w:spacing w:before="0" w:after="0" w:line="360" w:lineRule="auto"/>
        <w:ind w:firstLineChars="200" w:firstLine="600"/>
        <w:jc w:val="both"/>
        <w:rPr>
          <w:rFonts w:ascii="仿宋_GB2312" w:eastAsia="仿宋_GB2312" w:hAnsi="宋体"/>
          <w:color w:val="auto"/>
          <w:sz w:val="30"/>
          <w:szCs w:val="30"/>
        </w:rPr>
      </w:pPr>
      <w:r>
        <w:rPr>
          <w:rFonts w:ascii="仿宋_GB2312" w:eastAsia="仿宋_GB2312" w:hAnsi="宋体" w:hint="eastAsia"/>
          <w:color w:val="auto"/>
          <w:sz w:val="30"/>
          <w:szCs w:val="30"/>
        </w:rPr>
        <w:t xml:space="preserve">重大关联交易应当逐笔披露，一般关联交易可以合并披露。 </w:t>
      </w:r>
    </w:p>
    <w:p w:rsidR="005C402C" w:rsidRDefault="005C402C" w:rsidP="005C402C">
      <w:pPr>
        <w:pStyle w:val="ae"/>
        <w:widowControl w:val="0"/>
        <w:adjustRightInd w:val="0"/>
        <w:snapToGrid w:val="0"/>
        <w:spacing w:before="0" w:after="0" w:line="360" w:lineRule="auto"/>
        <w:ind w:firstLineChars="200" w:firstLine="602"/>
        <w:jc w:val="both"/>
        <w:rPr>
          <w:rFonts w:ascii="仿宋_GB2312" w:eastAsia="仿宋_GB2312" w:hAnsi="宋体"/>
          <w:color w:val="auto"/>
          <w:sz w:val="30"/>
          <w:szCs w:val="30"/>
        </w:rPr>
      </w:pPr>
      <w:r>
        <w:rPr>
          <w:rFonts w:ascii="仿宋_GB2312" w:eastAsia="仿宋_GB2312" w:hAnsi="宋体" w:hint="eastAsia"/>
          <w:b/>
          <w:color w:val="auto"/>
          <w:sz w:val="30"/>
          <w:szCs w:val="30"/>
        </w:rPr>
        <w:t>第四十二</w:t>
      </w:r>
      <w:r>
        <w:rPr>
          <w:rFonts w:ascii="仿宋_GB2312" w:eastAsia="仿宋_GB2312" w:hAnsi="宋体"/>
          <w:b/>
          <w:color w:val="auto"/>
          <w:sz w:val="30"/>
          <w:szCs w:val="30"/>
        </w:rPr>
        <w:t>条</w:t>
      </w:r>
      <w:r>
        <w:rPr>
          <w:rFonts w:ascii="仿宋_GB2312" w:eastAsia="仿宋_GB2312" w:hAnsi="宋体" w:hint="eastAsia"/>
          <w:color w:val="auto"/>
          <w:sz w:val="30"/>
          <w:szCs w:val="30"/>
        </w:rPr>
        <w:t xml:space="preserve">  根据《香港联合交易所有限公司证券上市规则》的规定，独立非执行董事每年均须审核持续关联交易，并在年度报告及账目中确认：</w:t>
      </w:r>
    </w:p>
    <w:p w:rsidR="005C402C" w:rsidRDefault="005C402C" w:rsidP="005C402C">
      <w:pPr>
        <w:pStyle w:val="ae"/>
        <w:widowControl w:val="0"/>
        <w:adjustRightInd w:val="0"/>
        <w:snapToGrid w:val="0"/>
        <w:spacing w:before="0" w:after="0" w:line="360" w:lineRule="auto"/>
        <w:ind w:firstLineChars="200" w:firstLine="600"/>
        <w:jc w:val="both"/>
        <w:rPr>
          <w:rFonts w:ascii="仿宋_GB2312" w:eastAsia="仿宋_GB2312" w:hAnsi="宋体"/>
          <w:color w:val="auto"/>
          <w:sz w:val="30"/>
          <w:szCs w:val="30"/>
        </w:rPr>
      </w:pPr>
      <w:r>
        <w:rPr>
          <w:rFonts w:ascii="仿宋_GB2312" w:eastAsia="仿宋_GB2312" w:hAnsi="宋体" w:hint="eastAsia"/>
          <w:color w:val="auto"/>
          <w:sz w:val="30"/>
          <w:szCs w:val="30"/>
        </w:rPr>
        <w:t>（一）该等交易是在本行日常业务中订立；</w:t>
      </w:r>
    </w:p>
    <w:p w:rsidR="005C402C" w:rsidRDefault="005C402C" w:rsidP="005C402C">
      <w:pPr>
        <w:pStyle w:val="ae"/>
        <w:widowControl w:val="0"/>
        <w:adjustRightInd w:val="0"/>
        <w:snapToGrid w:val="0"/>
        <w:spacing w:before="0" w:after="0" w:line="360" w:lineRule="auto"/>
        <w:ind w:firstLineChars="200" w:firstLine="600"/>
        <w:jc w:val="both"/>
        <w:rPr>
          <w:rFonts w:ascii="仿宋_GB2312" w:eastAsia="仿宋_GB2312" w:hAnsi="宋体"/>
          <w:color w:val="auto"/>
          <w:sz w:val="30"/>
          <w:szCs w:val="30"/>
        </w:rPr>
      </w:pPr>
      <w:r>
        <w:rPr>
          <w:rFonts w:ascii="仿宋_GB2312" w:eastAsia="仿宋_GB2312" w:hAnsi="宋体" w:hint="eastAsia"/>
          <w:color w:val="auto"/>
          <w:sz w:val="30"/>
          <w:szCs w:val="30"/>
        </w:rPr>
        <w:t>（二）该等交易是按照一般商业条款或更佳条款进行；</w:t>
      </w:r>
    </w:p>
    <w:p w:rsidR="005C402C" w:rsidRDefault="005C402C" w:rsidP="005C402C">
      <w:pPr>
        <w:pStyle w:val="ae"/>
        <w:widowControl w:val="0"/>
        <w:adjustRightInd w:val="0"/>
        <w:snapToGrid w:val="0"/>
        <w:spacing w:before="0" w:after="0" w:line="360" w:lineRule="auto"/>
        <w:ind w:firstLineChars="200" w:firstLine="600"/>
        <w:jc w:val="both"/>
        <w:rPr>
          <w:rFonts w:ascii="仿宋_GB2312" w:eastAsia="仿宋_GB2312" w:hAnsi="宋体"/>
          <w:color w:val="auto"/>
          <w:sz w:val="30"/>
          <w:szCs w:val="30"/>
        </w:rPr>
      </w:pPr>
      <w:r>
        <w:rPr>
          <w:rFonts w:ascii="仿宋_GB2312" w:eastAsia="仿宋_GB2312" w:hAnsi="宋体" w:hint="eastAsia"/>
          <w:color w:val="auto"/>
          <w:sz w:val="30"/>
          <w:szCs w:val="30"/>
        </w:rPr>
        <w:t>（三）该交易是根据有关交易的协议条款进行，而交易条款</w:t>
      </w:r>
      <w:r>
        <w:rPr>
          <w:rFonts w:ascii="仿宋_GB2312" w:eastAsia="仿宋_GB2312" w:hAnsi="宋体" w:hint="eastAsia"/>
          <w:color w:val="auto"/>
          <w:sz w:val="30"/>
          <w:szCs w:val="30"/>
        </w:rPr>
        <w:lastRenderedPageBreak/>
        <w:t>公平合理，并且符合本行股东的整体利益。</w:t>
      </w:r>
    </w:p>
    <w:p w:rsidR="005C402C" w:rsidRDefault="005C402C" w:rsidP="005C402C">
      <w:pPr>
        <w:pStyle w:val="ae"/>
        <w:widowControl w:val="0"/>
        <w:adjustRightInd w:val="0"/>
        <w:snapToGrid w:val="0"/>
        <w:spacing w:before="0" w:after="0" w:line="360" w:lineRule="auto"/>
        <w:ind w:firstLineChars="200" w:firstLine="602"/>
        <w:jc w:val="both"/>
        <w:rPr>
          <w:rFonts w:ascii="仿宋_GB2312" w:eastAsia="仿宋_GB2312" w:hAnsi="宋体"/>
          <w:color w:val="auto"/>
          <w:sz w:val="30"/>
          <w:szCs w:val="30"/>
        </w:rPr>
      </w:pPr>
      <w:r>
        <w:rPr>
          <w:rFonts w:ascii="仿宋_GB2312" w:eastAsia="仿宋_GB2312" w:hAnsi="宋体" w:hint="eastAsia"/>
          <w:b/>
          <w:color w:val="auto"/>
          <w:sz w:val="30"/>
          <w:szCs w:val="30"/>
        </w:rPr>
        <w:t>第四十三</w:t>
      </w:r>
      <w:r>
        <w:rPr>
          <w:rFonts w:ascii="仿宋_GB2312" w:eastAsia="仿宋_GB2312" w:hAnsi="宋体"/>
          <w:b/>
          <w:color w:val="auto"/>
          <w:sz w:val="30"/>
          <w:szCs w:val="30"/>
        </w:rPr>
        <w:t>条</w:t>
      </w:r>
      <w:r>
        <w:rPr>
          <w:rFonts w:ascii="仿宋_GB2312" w:eastAsia="仿宋_GB2312" w:hAnsi="宋体" w:hint="eastAsia"/>
          <w:color w:val="auto"/>
          <w:sz w:val="30"/>
          <w:szCs w:val="30"/>
        </w:rPr>
        <w:t xml:space="preserve">  董事会办公室负责本行关联交易信息的披露及申请豁免事宜，牵头组织披露文件的编制和披露，把握披露内容的尺度标准，并按照相关规定或证券交易所的要求及时就相关情况进行公告。董事会办公室牵头负责临时报告及定期报告关联交易披露所涉的相关信息。</w:t>
      </w:r>
    </w:p>
    <w:p w:rsidR="005C402C" w:rsidRDefault="005C402C" w:rsidP="005C402C">
      <w:pPr>
        <w:pStyle w:val="ae"/>
        <w:widowControl w:val="0"/>
        <w:adjustRightInd w:val="0"/>
        <w:snapToGrid w:val="0"/>
        <w:spacing w:before="0" w:after="0" w:line="360" w:lineRule="auto"/>
        <w:ind w:firstLineChars="200" w:firstLine="600"/>
        <w:jc w:val="both"/>
        <w:rPr>
          <w:rFonts w:ascii="仿宋_GB2312" w:eastAsia="仿宋_GB2312" w:hAnsi="宋体"/>
          <w:color w:val="auto"/>
          <w:sz w:val="30"/>
          <w:szCs w:val="30"/>
        </w:rPr>
      </w:pPr>
      <w:r>
        <w:rPr>
          <w:rFonts w:ascii="仿宋_GB2312" w:eastAsia="仿宋_GB2312" w:hAnsi="宋体" w:hint="eastAsia"/>
          <w:color w:val="auto"/>
          <w:sz w:val="30"/>
          <w:szCs w:val="30"/>
        </w:rPr>
        <w:t>需及时</w:t>
      </w:r>
      <w:r>
        <w:rPr>
          <w:rFonts w:ascii="仿宋_GB2312" w:eastAsia="仿宋_GB2312" w:hAnsi="宋体"/>
          <w:color w:val="auto"/>
          <w:sz w:val="30"/>
          <w:szCs w:val="30"/>
        </w:rPr>
        <w:t>披露</w:t>
      </w:r>
      <w:r>
        <w:rPr>
          <w:rFonts w:ascii="仿宋_GB2312" w:eastAsia="仿宋_GB2312" w:hAnsi="宋体" w:hint="eastAsia"/>
          <w:color w:val="auto"/>
          <w:sz w:val="30"/>
          <w:szCs w:val="30"/>
        </w:rPr>
        <w:t>的</w:t>
      </w:r>
      <w:r>
        <w:rPr>
          <w:rFonts w:ascii="仿宋_GB2312" w:eastAsia="仿宋_GB2312" w:hAnsi="宋体"/>
          <w:color w:val="auto"/>
          <w:sz w:val="30"/>
          <w:szCs w:val="30"/>
        </w:rPr>
        <w:t>关联交易，</w:t>
      </w:r>
      <w:r>
        <w:rPr>
          <w:rFonts w:ascii="仿宋_GB2312" w:eastAsia="仿宋_GB2312" w:hAnsi="宋体" w:hint="eastAsia"/>
          <w:color w:val="auto"/>
          <w:sz w:val="30"/>
          <w:szCs w:val="30"/>
        </w:rPr>
        <w:t>在</w:t>
      </w:r>
      <w:r>
        <w:rPr>
          <w:rFonts w:ascii="仿宋_GB2312" w:eastAsia="仿宋_GB2312" w:hAnsi="宋体"/>
          <w:color w:val="auto"/>
          <w:sz w:val="30"/>
          <w:szCs w:val="30"/>
        </w:rPr>
        <w:t>关联交易审查审批通过后，由</w:t>
      </w:r>
      <w:r>
        <w:rPr>
          <w:rFonts w:ascii="仿宋_GB2312" w:eastAsia="仿宋_GB2312" w:hAnsi="宋体" w:hint="eastAsia"/>
          <w:color w:val="auto"/>
          <w:sz w:val="30"/>
          <w:szCs w:val="30"/>
        </w:rPr>
        <w:t>董事会办公室牵头拟定披露内容并负责按相关流程在2个交易日内完成披露。</w:t>
      </w:r>
    </w:p>
    <w:p w:rsidR="005C402C" w:rsidRDefault="005C402C" w:rsidP="005C402C">
      <w:pPr>
        <w:pStyle w:val="ae"/>
        <w:widowControl w:val="0"/>
        <w:adjustRightInd w:val="0"/>
        <w:snapToGrid w:val="0"/>
        <w:spacing w:before="0" w:after="0" w:line="360" w:lineRule="auto"/>
        <w:ind w:firstLineChars="200" w:firstLine="602"/>
        <w:jc w:val="both"/>
        <w:rPr>
          <w:rFonts w:ascii="仿宋_GB2312" w:eastAsia="仿宋_GB2312" w:hAnsi="宋体"/>
          <w:color w:val="auto"/>
          <w:sz w:val="30"/>
          <w:szCs w:val="30"/>
        </w:rPr>
      </w:pPr>
      <w:r>
        <w:rPr>
          <w:rFonts w:ascii="仿宋_GB2312" w:eastAsia="仿宋_GB2312" w:hAnsi="宋体" w:hint="eastAsia"/>
          <w:b/>
          <w:color w:val="auto"/>
          <w:sz w:val="30"/>
          <w:szCs w:val="30"/>
        </w:rPr>
        <w:t>第四十四</w:t>
      </w:r>
      <w:r>
        <w:rPr>
          <w:rFonts w:ascii="仿宋_GB2312" w:eastAsia="仿宋_GB2312" w:hAnsi="宋体"/>
          <w:b/>
          <w:color w:val="auto"/>
          <w:sz w:val="30"/>
          <w:szCs w:val="30"/>
        </w:rPr>
        <w:t>条</w:t>
      </w:r>
      <w:r>
        <w:rPr>
          <w:rFonts w:ascii="仿宋_GB2312" w:eastAsia="仿宋_GB2312" w:hAnsi="宋体" w:hint="eastAsia"/>
          <w:color w:val="auto"/>
          <w:sz w:val="30"/>
          <w:szCs w:val="30"/>
        </w:rPr>
        <w:t xml:space="preserve">  上交所</w:t>
      </w:r>
      <w:r>
        <w:rPr>
          <w:rFonts w:ascii="仿宋_GB2312" w:eastAsia="仿宋_GB2312" w:hAnsi="宋体"/>
          <w:color w:val="auto"/>
          <w:sz w:val="30"/>
          <w:szCs w:val="30"/>
        </w:rPr>
        <w:t>口径下</w:t>
      </w:r>
      <w:r>
        <w:rPr>
          <w:rFonts w:ascii="仿宋_GB2312" w:eastAsia="仿宋_GB2312" w:hAnsi="宋体" w:hint="eastAsia"/>
          <w:color w:val="auto"/>
          <w:sz w:val="30"/>
          <w:szCs w:val="30"/>
        </w:rPr>
        <w:t>本行与关联方发生“提供担保以外的财务资助”、“委托理财”等关联交易时，应当以发生额作为披露的计算标准，并按交易类别在连续1</w:t>
      </w:r>
      <w:r>
        <w:rPr>
          <w:rFonts w:ascii="仿宋_GB2312" w:eastAsia="仿宋_GB2312" w:hAnsi="宋体"/>
          <w:color w:val="auto"/>
          <w:sz w:val="30"/>
          <w:szCs w:val="30"/>
        </w:rPr>
        <w:t>2</w:t>
      </w:r>
      <w:r>
        <w:rPr>
          <w:rFonts w:ascii="仿宋_GB2312" w:eastAsia="仿宋_GB2312" w:hAnsi="宋体" w:hint="eastAsia"/>
          <w:color w:val="auto"/>
          <w:sz w:val="30"/>
          <w:szCs w:val="30"/>
        </w:rPr>
        <w:t>个月内累计计算。其他关联交易，按照下列标准在连续1</w:t>
      </w:r>
      <w:r>
        <w:rPr>
          <w:rFonts w:ascii="仿宋_GB2312" w:eastAsia="仿宋_GB2312" w:hAnsi="宋体"/>
          <w:color w:val="auto"/>
          <w:sz w:val="30"/>
          <w:szCs w:val="30"/>
        </w:rPr>
        <w:t>2</w:t>
      </w:r>
      <w:r>
        <w:rPr>
          <w:rFonts w:ascii="仿宋_GB2312" w:eastAsia="仿宋_GB2312" w:hAnsi="宋体" w:hint="eastAsia"/>
          <w:color w:val="auto"/>
          <w:sz w:val="30"/>
          <w:szCs w:val="30"/>
        </w:rPr>
        <w:t>个月内累计计算：</w:t>
      </w:r>
    </w:p>
    <w:p w:rsidR="005C402C" w:rsidRDefault="005C402C" w:rsidP="005C402C">
      <w:pPr>
        <w:pStyle w:val="ae"/>
        <w:widowControl w:val="0"/>
        <w:adjustRightInd w:val="0"/>
        <w:snapToGrid w:val="0"/>
        <w:spacing w:before="0" w:after="0" w:line="360" w:lineRule="auto"/>
        <w:ind w:firstLineChars="200" w:firstLine="600"/>
        <w:jc w:val="both"/>
        <w:rPr>
          <w:rFonts w:ascii="仿宋_GB2312" w:eastAsia="仿宋_GB2312" w:hAnsi="宋体"/>
          <w:color w:val="auto"/>
          <w:sz w:val="30"/>
          <w:szCs w:val="30"/>
        </w:rPr>
      </w:pPr>
      <w:r>
        <w:rPr>
          <w:rFonts w:ascii="仿宋_GB2312" w:eastAsia="仿宋_GB2312" w:hAnsi="宋体" w:hint="eastAsia"/>
          <w:color w:val="auto"/>
          <w:sz w:val="30"/>
          <w:szCs w:val="30"/>
        </w:rPr>
        <w:t>（一）与同一关联方进行的交易；</w:t>
      </w:r>
    </w:p>
    <w:p w:rsidR="005C402C" w:rsidRDefault="005C402C" w:rsidP="005C402C">
      <w:pPr>
        <w:pStyle w:val="ae"/>
        <w:widowControl w:val="0"/>
        <w:adjustRightInd w:val="0"/>
        <w:snapToGrid w:val="0"/>
        <w:spacing w:before="0" w:after="0" w:line="360" w:lineRule="auto"/>
        <w:ind w:firstLineChars="200" w:firstLine="600"/>
        <w:jc w:val="both"/>
        <w:rPr>
          <w:rFonts w:ascii="仿宋_GB2312" w:eastAsia="仿宋_GB2312" w:hAnsi="宋体"/>
          <w:color w:val="auto"/>
          <w:sz w:val="30"/>
          <w:szCs w:val="30"/>
        </w:rPr>
      </w:pPr>
      <w:r>
        <w:rPr>
          <w:rFonts w:ascii="仿宋_GB2312" w:eastAsia="仿宋_GB2312" w:hAnsi="宋体" w:hint="eastAsia"/>
          <w:color w:val="auto"/>
          <w:sz w:val="30"/>
          <w:szCs w:val="30"/>
        </w:rPr>
        <w:t>（二）与不同关联方进行的交易标的类别相关的交易。</w:t>
      </w:r>
    </w:p>
    <w:p w:rsidR="005C402C" w:rsidRDefault="005C402C" w:rsidP="005C402C">
      <w:pPr>
        <w:pStyle w:val="ae"/>
        <w:widowControl w:val="0"/>
        <w:adjustRightInd w:val="0"/>
        <w:snapToGrid w:val="0"/>
        <w:spacing w:before="0" w:after="0" w:line="360" w:lineRule="auto"/>
        <w:ind w:firstLineChars="200" w:firstLine="600"/>
        <w:jc w:val="both"/>
        <w:rPr>
          <w:rFonts w:ascii="仿宋_GB2312" w:eastAsia="仿宋_GB2312" w:hAnsi="宋体"/>
          <w:color w:val="auto"/>
          <w:sz w:val="30"/>
          <w:szCs w:val="30"/>
        </w:rPr>
      </w:pPr>
      <w:r>
        <w:rPr>
          <w:rFonts w:ascii="仿宋_GB2312" w:eastAsia="仿宋_GB2312" w:hAnsi="宋体" w:hint="eastAsia"/>
          <w:color w:val="auto"/>
          <w:sz w:val="30"/>
          <w:szCs w:val="30"/>
        </w:rPr>
        <w:t>上述同一关联方，包括与该关联方受同一法人或其他组织或者自然人直接或间接控制的，或相互存在股权控制关系；以及由同一关联自然人担任董事或高级管理人员的法人或其他组织。</w:t>
      </w:r>
    </w:p>
    <w:p w:rsidR="005C402C" w:rsidRDefault="005C402C" w:rsidP="005C402C">
      <w:pPr>
        <w:pStyle w:val="ae"/>
        <w:widowControl w:val="0"/>
        <w:adjustRightInd w:val="0"/>
        <w:snapToGrid w:val="0"/>
        <w:spacing w:before="0" w:after="0" w:line="360" w:lineRule="auto"/>
        <w:ind w:firstLineChars="200" w:firstLine="600"/>
        <w:jc w:val="both"/>
        <w:rPr>
          <w:rFonts w:ascii="仿宋_GB2312" w:eastAsia="仿宋_GB2312" w:hAnsi="宋体"/>
          <w:sz w:val="30"/>
          <w:szCs w:val="30"/>
        </w:rPr>
      </w:pPr>
      <w:r>
        <w:rPr>
          <w:rFonts w:ascii="仿宋_GB2312" w:eastAsia="仿宋_GB2312" w:hAnsi="宋体" w:hint="eastAsia"/>
          <w:sz w:val="30"/>
          <w:szCs w:val="30"/>
        </w:rPr>
        <w:t>已经按照及时</w:t>
      </w:r>
      <w:r>
        <w:rPr>
          <w:rFonts w:ascii="仿宋_GB2312" w:eastAsia="仿宋_GB2312" w:hAnsi="宋体"/>
          <w:sz w:val="30"/>
          <w:szCs w:val="30"/>
        </w:rPr>
        <w:t>披露相关</w:t>
      </w:r>
      <w:r>
        <w:rPr>
          <w:rFonts w:ascii="仿宋_GB2312" w:eastAsia="仿宋_GB2312" w:hAnsi="宋体" w:hint="eastAsia"/>
          <w:sz w:val="30"/>
          <w:szCs w:val="30"/>
        </w:rPr>
        <w:t>规定履行审议和披露义务的，不再纳入相关累计计算范围。</w:t>
      </w:r>
    </w:p>
    <w:p w:rsidR="005C402C" w:rsidRDefault="005C402C" w:rsidP="005C402C">
      <w:pPr>
        <w:pStyle w:val="ae"/>
        <w:widowControl w:val="0"/>
        <w:adjustRightInd w:val="0"/>
        <w:snapToGrid w:val="0"/>
        <w:spacing w:before="0" w:after="0" w:line="360" w:lineRule="auto"/>
        <w:ind w:firstLineChars="200" w:firstLine="602"/>
        <w:jc w:val="both"/>
        <w:rPr>
          <w:rFonts w:ascii="仿宋_GB2312" w:eastAsia="仿宋_GB2312" w:hAnsi="宋体"/>
          <w:color w:val="auto"/>
          <w:sz w:val="30"/>
          <w:szCs w:val="30"/>
        </w:rPr>
      </w:pPr>
      <w:r>
        <w:rPr>
          <w:rFonts w:ascii="仿宋_GB2312" w:eastAsia="仿宋_GB2312" w:hAnsi="宋体" w:hint="eastAsia"/>
          <w:b/>
          <w:sz w:val="30"/>
          <w:szCs w:val="30"/>
        </w:rPr>
        <w:t>第四十五</w:t>
      </w:r>
      <w:r>
        <w:rPr>
          <w:rFonts w:ascii="仿宋_GB2312" w:eastAsia="仿宋_GB2312" w:hAnsi="宋体"/>
          <w:b/>
          <w:sz w:val="30"/>
          <w:szCs w:val="30"/>
        </w:rPr>
        <w:t>条</w:t>
      </w:r>
      <w:r>
        <w:rPr>
          <w:rFonts w:ascii="仿宋_GB2312" w:eastAsia="仿宋_GB2312" w:hAnsi="宋体" w:hint="eastAsia"/>
          <w:b/>
          <w:sz w:val="30"/>
          <w:szCs w:val="30"/>
        </w:rPr>
        <w:t xml:space="preserve">  </w:t>
      </w:r>
      <w:r>
        <w:rPr>
          <w:rFonts w:ascii="仿宋_GB2312" w:eastAsia="仿宋_GB2312" w:hAnsi="宋体" w:hint="eastAsia"/>
          <w:color w:val="auto"/>
          <w:sz w:val="30"/>
          <w:szCs w:val="30"/>
        </w:rPr>
        <w:t>日常</w:t>
      </w:r>
      <w:r>
        <w:rPr>
          <w:rFonts w:ascii="仿宋_GB2312" w:eastAsia="仿宋_GB2312" w:hAnsi="宋体"/>
          <w:color w:val="auto"/>
          <w:sz w:val="30"/>
          <w:szCs w:val="30"/>
        </w:rPr>
        <w:t>关联交易的</w:t>
      </w:r>
      <w:r>
        <w:rPr>
          <w:rFonts w:ascii="仿宋_GB2312" w:eastAsia="仿宋_GB2312" w:hAnsi="宋体" w:hint="eastAsia"/>
          <w:color w:val="auto"/>
          <w:sz w:val="30"/>
          <w:szCs w:val="30"/>
        </w:rPr>
        <w:t>披</w:t>
      </w:r>
      <w:r>
        <w:rPr>
          <w:rFonts w:ascii="仿宋_GB2312" w:eastAsia="仿宋_GB2312" w:hAnsi="宋体"/>
          <w:color w:val="auto"/>
          <w:sz w:val="30"/>
          <w:szCs w:val="30"/>
        </w:rPr>
        <w:t>露。</w:t>
      </w:r>
    </w:p>
    <w:p w:rsidR="005C402C" w:rsidRDefault="005C402C" w:rsidP="005C402C">
      <w:pPr>
        <w:pStyle w:val="ae"/>
        <w:widowControl w:val="0"/>
        <w:adjustRightInd w:val="0"/>
        <w:snapToGrid w:val="0"/>
        <w:spacing w:before="0" w:after="0" w:line="360" w:lineRule="auto"/>
        <w:ind w:firstLineChars="200" w:firstLine="600"/>
        <w:jc w:val="both"/>
        <w:rPr>
          <w:rFonts w:ascii="仿宋_GB2312" w:eastAsia="仿宋_GB2312" w:hAnsi="宋体"/>
          <w:color w:val="auto"/>
          <w:sz w:val="30"/>
          <w:szCs w:val="30"/>
        </w:rPr>
      </w:pPr>
      <w:r>
        <w:rPr>
          <w:rFonts w:ascii="仿宋_GB2312" w:eastAsia="仿宋_GB2312" w:hAnsi="宋体" w:hint="eastAsia"/>
          <w:color w:val="auto"/>
          <w:sz w:val="30"/>
          <w:szCs w:val="30"/>
        </w:rPr>
        <w:t>（一）已经股东大会或者董事会审议通过且正在执行的日常关联交易协议，如果执行过程中主要条款未发生重大变化的，应在年度报告和中期报告中按要求披露各协议的实际履行情况，并</w:t>
      </w:r>
      <w:r>
        <w:rPr>
          <w:rFonts w:ascii="仿宋_GB2312" w:eastAsia="仿宋_GB2312" w:hAnsi="宋体" w:hint="eastAsia"/>
          <w:color w:val="auto"/>
          <w:sz w:val="30"/>
          <w:szCs w:val="30"/>
        </w:rPr>
        <w:lastRenderedPageBreak/>
        <w:t>说明是否符合协议的规定；如果协议在执行过程中主要条款发生重大变化或者协议期满需要续签的，应当将新修订或者续签的日常关联交易协议，根据协议涉及的总交易金额提交董事会或者股东大会审议，协议没有具体总交易金额的，应当提交股东大会审议；</w:t>
      </w:r>
    </w:p>
    <w:p w:rsidR="005C402C" w:rsidRDefault="005C402C" w:rsidP="005C402C">
      <w:pPr>
        <w:pStyle w:val="ae"/>
        <w:widowControl w:val="0"/>
        <w:adjustRightInd w:val="0"/>
        <w:snapToGrid w:val="0"/>
        <w:spacing w:before="0" w:after="0" w:line="360" w:lineRule="auto"/>
        <w:ind w:firstLineChars="200" w:firstLine="600"/>
        <w:jc w:val="both"/>
        <w:rPr>
          <w:rFonts w:ascii="仿宋_GB2312" w:eastAsia="仿宋_GB2312" w:hAnsi="宋体"/>
          <w:color w:val="auto"/>
          <w:sz w:val="30"/>
          <w:szCs w:val="30"/>
        </w:rPr>
      </w:pPr>
      <w:r>
        <w:rPr>
          <w:rFonts w:ascii="仿宋_GB2312" w:eastAsia="仿宋_GB2312" w:hAnsi="宋体" w:hint="eastAsia"/>
          <w:color w:val="auto"/>
          <w:sz w:val="30"/>
          <w:szCs w:val="30"/>
        </w:rPr>
        <w:t>（二）首次发生的日常关联交易，应当与关联人订立书面协议并及时披露，根据协议涉及的总交易金额提交董事会或者股东大会审议，协议没有具体总交易金额的，应当提交股东大会审议；该协议经审议通过并披露后，根据其进行的日常关联交易按照前款规定办理；</w:t>
      </w:r>
    </w:p>
    <w:p w:rsidR="005C402C" w:rsidRDefault="005C402C" w:rsidP="005C402C">
      <w:pPr>
        <w:pStyle w:val="ae"/>
        <w:widowControl w:val="0"/>
        <w:adjustRightInd w:val="0"/>
        <w:snapToGrid w:val="0"/>
        <w:spacing w:before="0" w:after="0" w:line="360" w:lineRule="auto"/>
        <w:ind w:firstLineChars="200" w:firstLine="600"/>
        <w:jc w:val="both"/>
        <w:rPr>
          <w:rFonts w:ascii="仿宋_GB2312" w:eastAsia="仿宋_GB2312" w:hAnsi="宋体"/>
          <w:color w:val="auto"/>
          <w:sz w:val="30"/>
          <w:szCs w:val="30"/>
        </w:rPr>
      </w:pPr>
      <w:r>
        <w:rPr>
          <w:rFonts w:ascii="仿宋_GB2312" w:eastAsia="仿宋_GB2312" w:hAnsi="宋体" w:hint="eastAsia"/>
          <w:color w:val="auto"/>
          <w:sz w:val="30"/>
          <w:szCs w:val="30"/>
        </w:rPr>
        <w:t>（三）日常关联交易数量较多、需要经常订立新的日常关联交易协议等，难以将每份协议提交董事会或者股东大会审议的，交易</w:t>
      </w:r>
      <w:r>
        <w:rPr>
          <w:rFonts w:ascii="仿宋_GB2312" w:eastAsia="仿宋_GB2312" w:hAnsi="宋体"/>
          <w:color w:val="auto"/>
          <w:sz w:val="30"/>
          <w:szCs w:val="30"/>
        </w:rPr>
        <w:t>发起部门</w:t>
      </w:r>
      <w:r>
        <w:rPr>
          <w:rFonts w:ascii="仿宋_GB2312" w:eastAsia="仿宋_GB2312" w:hAnsi="宋体" w:hint="eastAsia"/>
          <w:color w:val="auto"/>
          <w:sz w:val="30"/>
          <w:szCs w:val="30"/>
        </w:rPr>
        <w:t>可以在披露上一年度报告之前，按类别对当年度将发生的日常关联交易总金额进行合理预计，根据预计结果按流程提交董事会或者股东大会审议并披露。对于预计范围内的日常关联交易，应在年度报告和中期报告中予以分类汇总披露；实际执行中超出预计总金额的，应当根据超出量重新提请董事会或者股东大会审议并披露。</w:t>
      </w:r>
    </w:p>
    <w:p w:rsidR="005C402C" w:rsidRDefault="005C402C" w:rsidP="005C402C">
      <w:pPr>
        <w:pStyle w:val="ae"/>
        <w:widowControl w:val="0"/>
        <w:adjustRightInd w:val="0"/>
        <w:snapToGrid w:val="0"/>
        <w:spacing w:before="0" w:after="0" w:line="360" w:lineRule="auto"/>
        <w:ind w:firstLineChars="200" w:firstLine="602"/>
        <w:jc w:val="both"/>
        <w:rPr>
          <w:rFonts w:ascii="仿宋_GB2312" w:eastAsia="仿宋_GB2312" w:hAnsi="宋体"/>
          <w:color w:val="auto"/>
          <w:sz w:val="30"/>
          <w:szCs w:val="30"/>
        </w:rPr>
      </w:pPr>
      <w:r>
        <w:rPr>
          <w:rFonts w:ascii="仿宋_GB2312" w:eastAsia="仿宋_GB2312" w:hAnsi="宋体" w:hint="eastAsia"/>
          <w:b/>
          <w:sz w:val="30"/>
          <w:szCs w:val="30"/>
        </w:rPr>
        <w:t>第四十六</w:t>
      </w:r>
      <w:r>
        <w:rPr>
          <w:rFonts w:ascii="仿宋_GB2312" w:eastAsia="仿宋_GB2312" w:hAnsi="宋体"/>
          <w:b/>
          <w:sz w:val="30"/>
          <w:szCs w:val="30"/>
        </w:rPr>
        <w:t>条</w:t>
      </w:r>
      <w:r>
        <w:rPr>
          <w:rFonts w:ascii="仿宋_GB2312" w:eastAsia="仿宋_GB2312" w:hAnsi="宋体" w:hint="eastAsia"/>
          <w:b/>
          <w:sz w:val="30"/>
          <w:szCs w:val="30"/>
        </w:rPr>
        <w:t xml:space="preserve">  </w:t>
      </w:r>
      <w:r>
        <w:rPr>
          <w:rFonts w:ascii="仿宋_GB2312" w:eastAsia="仿宋_GB2312" w:hAnsi="宋体" w:hint="eastAsia"/>
          <w:color w:val="auto"/>
          <w:sz w:val="30"/>
          <w:szCs w:val="30"/>
        </w:rPr>
        <w:t>本行与关联人签订的日常关联交易协议期限超过3年的，应当每3年按规定重新履行相关审议程序和披露义务。</w:t>
      </w:r>
    </w:p>
    <w:p w:rsidR="005C402C" w:rsidRDefault="005C402C" w:rsidP="005C402C">
      <w:pPr>
        <w:pStyle w:val="ae"/>
        <w:widowControl w:val="0"/>
        <w:adjustRightInd w:val="0"/>
        <w:snapToGrid w:val="0"/>
        <w:spacing w:before="0" w:after="0" w:line="360" w:lineRule="auto"/>
        <w:ind w:firstLineChars="200" w:firstLine="602"/>
        <w:jc w:val="both"/>
        <w:rPr>
          <w:rFonts w:ascii="仿宋_GB2312" w:eastAsia="仿宋_GB2312" w:hAnsi="宋体"/>
          <w:color w:val="auto"/>
          <w:sz w:val="30"/>
          <w:szCs w:val="30"/>
        </w:rPr>
      </w:pPr>
      <w:r>
        <w:rPr>
          <w:rFonts w:ascii="仿宋_GB2312" w:eastAsia="仿宋_GB2312" w:hAnsi="宋体" w:hint="eastAsia"/>
          <w:b/>
          <w:color w:val="auto"/>
          <w:sz w:val="30"/>
          <w:szCs w:val="30"/>
        </w:rPr>
        <w:t>第四十七</w:t>
      </w:r>
      <w:r>
        <w:rPr>
          <w:rFonts w:ascii="仿宋_GB2312" w:eastAsia="仿宋_GB2312" w:hAnsi="宋体"/>
          <w:b/>
          <w:color w:val="auto"/>
          <w:sz w:val="30"/>
          <w:szCs w:val="30"/>
        </w:rPr>
        <w:t>条</w:t>
      </w:r>
      <w:r>
        <w:rPr>
          <w:rFonts w:ascii="仿宋_GB2312" w:eastAsia="仿宋_GB2312" w:hAnsi="宋体" w:hint="eastAsia"/>
          <w:color w:val="auto"/>
          <w:sz w:val="30"/>
          <w:szCs w:val="30"/>
        </w:rPr>
        <w:t xml:space="preserve">  上交所</w:t>
      </w:r>
      <w:r>
        <w:rPr>
          <w:rFonts w:ascii="仿宋_GB2312" w:eastAsia="仿宋_GB2312" w:hAnsi="宋体"/>
          <w:color w:val="auto"/>
          <w:sz w:val="30"/>
          <w:szCs w:val="30"/>
        </w:rPr>
        <w:t>口径下</w:t>
      </w:r>
      <w:r>
        <w:rPr>
          <w:rFonts w:ascii="仿宋_GB2312" w:eastAsia="仿宋_GB2312" w:hAnsi="宋体" w:hint="eastAsia"/>
          <w:color w:val="auto"/>
          <w:sz w:val="30"/>
          <w:szCs w:val="30"/>
        </w:rPr>
        <w:t>关联</w:t>
      </w:r>
      <w:r>
        <w:rPr>
          <w:rFonts w:ascii="仿宋_GB2312" w:eastAsia="仿宋_GB2312" w:hAnsi="宋体"/>
          <w:color w:val="auto"/>
          <w:sz w:val="30"/>
          <w:szCs w:val="30"/>
        </w:rPr>
        <w:t>交易</w:t>
      </w:r>
      <w:r>
        <w:rPr>
          <w:rFonts w:ascii="仿宋_GB2312" w:eastAsia="仿宋_GB2312" w:hAnsi="宋体" w:hint="eastAsia"/>
          <w:color w:val="auto"/>
          <w:sz w:val="30"/>
          <w:szCs w:val="30"/>
        </w:rPr>
        <w:t>审议</w:t>
      </w:r>
      <w:r>
        <w:rPr>
          <w:rFonts w:ascii="仿宋_GB2312" w:eastAsia="仿宋_GB2312" w:hAnsi="宋体"/>
          <w:color w:val="auto"/>
          <w:sz w:val="30"/>
          <w:szCs w:val="30"/>
        </w:rPr>
        <w:t>和披露</w:t>
      </w:r>
      <w:r>
        <w:rPr>
          <w:rFonts w:ascii="仿宋_GB2312" w:eastAsia="仿宋_GB2312" w:hAnsi="宋体" w:hint="eastAsia"/>
          <w:color w:val="auto"/>
          <w:sz w:val="30"/>
          <w:szCs w:val="30"/>
        </w:rPr>
        <w:t>的</w:t>
      </w:r>
      <w:r>
        <w:rPr>
          <w:rFonts w:ascii="仿宋_GB2312" w:eastAsia="仿宋_GB2312" w:hAnsi="宋体"/>
          <w:color w:val="auto"/>
          <w:sz w:val="30"/>
          <w:szCs w:val="30"/>
        </w:rPr>
        <w:t>豁免。</w:t>
      </w:r>
    </w:p>
    <w:p w:rsidR="005C402C" w:rsidRDefault="005C402C" w:rsidP="005C402C">
      <w:pPr>
        <w:pStyle w:val="ae"/>
        <w:widowControl w:val="0"/>
        <w:adjustRightInd w:val="0"/>
        <w:snapToGrid w:val="0"/>
        <w:spacing w:before="0" w:after="0" w:line="360" w:lineRule="auto"/>
        <w:ind w:firstLineChars="200" w:firstLine="600"/>
        <w:jc w:val="both"/>
        <w:rPr>
          <w:rFonts w:ascii="仿宋_GB2312" w:eastAsia="仿宋_GB2312" w:hAnsi="宋体"/>
          <w:color w:val="auto"/>
          <w:sz w:val="30"/>
          <w:szCs w:val="30"/>
        </w:rPr>
      </w:pPr>
      <w:r>
        <w:rPr>
          <w:rFonts w:ascii="仿宋_GB2312" w:eastAsia="仿宋_GB2312" w:hAnsi="宋体" w:hint="eastAsia"/>
          <w:color w:val="auto"/>
          <w:sz w:val="30"/>
          <w:szCs w:val="30"/>
        </w:rPr>
        <w:t>（一）本行与关联方因一方参与公开招标、公开拍卖等行为所导致的关联交易，可以向上交所申请豁免按照关联交易的方式</w:t>
      </w:r>
      <w:r>
        <w:rPr>
          <w:rFonts w:ascii="仿宋_GB2312" w:eastAsia="仿宋_GB2312" w:hAnsi="宋体" w:hint="eastAsia"/>
          <w:color w:val="auto"/>
          <w:sz w:val="30"/>
          <w:szCs w:val="30"/>
        </w:rPr>
        <w:lastRenderedPageBreak/>
        <w:t>进行审议和披露。</w:t>
      </w:r>
    </w:p>
    <w:p w:rsidR="005C402C" w:rsidRDefault="005C402C" w:rsidP="005C402C">
      <w:pPr>
        <w:pStyle w:val="ae"/>
        <w:widowControl w:val="0"/>
        <w:adjustRightInd w:val="0"/>
        <w:snapToGrid w:val="0"/>
        <w:spacing w:before="0" w:after="0" w:line="360" w:lineRule="auto"/>
        <w:ind w:firstLineChars="200" w:firstLine="600"/>
        <w:jc w:val="both"/>
        <w:rPr>
          <w:rFonts w:ascii="仿宋_GB2312" w:eastAsia="仿宋_GB2312" w:hAnsi="宋体"/>
          <w:color w:val="auto"/>
          <w:sz w:val="30"/>
          <w:szCs w:val="30"/>
        </w:rPr>
      </w:pPr>
      <w:r>
        <w:rPr>
          <w:rFonts w:ascii="仿宋_GB2312" w:eastAsia="仿宋_GB2312" w:hAnsi="宋体" w:hint="eastAsia"/>
          <w:color w:val="auto"/>
          <w:sz w:val="30"/>
          <w:szCs w:val="30"/>
        </w:rPr>
        <w:t>（二）本行与关联方进行的下述交易，可以免予按照关联交易的方式进行审议和披露：</w:t>
      </w:r>
    </w:p>
    <w:p w:rsidR="005C402C" w:rsidRDefault="005C402C" w:rsidP="005C402C">
      <w:pPr>
        <w:pStyle w:val="ae"/>
        <w:widowControl w:val="0"/>
        <w:adjustRightInd w:val="0"/>
        <w:snapToGrid w:val="0"/>
        <w:spacing w:before="0" w:after="0" w:line="360" w:lineRule="auto"/>
        <w:ind w:firstLineChars="200" w:firstLine="600"/>
        <w:jc w:val="both"/>
        <w:rPr>
          <w:rFonts w:ascii="仿宋_GB2312" w:eastAsia="仿宋_GB2312" w:hAnsi="宋体"/>
          <w:color w:val="auto"/>
          <w:sz w:val="30"/>
          <w:szCs w:val="30"/>
        </w:rPr>
      </w:pPr>
      <w:r>
        <w:rPr>
          <w:rFonts w:ascii="仿宋_GB2312" w:eastAsia="仿宋_GB2312" w:hAnsi="宋体" w:hint="eastAsia"/>
          <w:color w:val="auto"/>
          <w:sz w:val="30"/>
          <w:szCs w:val="30"/>
        </w:rPr>
        <w:t>1</w:t>
      </w:r>
      <w:r>
        <w:rPr>
          <w:rFonts w:ascii="仿宋_GB2312" w:eastAsia="仿宋_GB2312" w:hAnsi="宋体"/>
          <w:color w:val="auto"/>
          <w:sz w:val="30"/>
          <w:szCs w:val="30"/>
        </w:rPr>
        <w:t>.</w:t>
      </w:r>
      <w:r>
        <w:rPr>
          <w:rFonts w:ascii="仿宋_GB2312" w:eastAsia="仿宋_GB2312" w:hAnsi="宋体" w:hint="eastAsia"/>
          <w:color w:val="auto"/>
          <w:sz w:val="30"/>
          <w:szCs w:val="30"/>
        </w:rPr>
        <w:t>一方以现金方式认购另一方公开发行的股票、公司债券或企业债券、可转换公司债券或者其他衍生品种；</w:t>
      </w:r>
    </w:p>
    <w:p w:rsidR="005C402C" w:rsidRDefault="005C402C" w:rsidP="005C402C">
      <w:pPr>
        <w:pStyle w:val="ae"/>
        <w:widowControl w:val="0"/>
        <w:adjustRightInd w:val="0"/>
        <w:snapToGrid w:val="0"/>
        <w:spacing w:before="0" w:after="0" w:line="360" w:lineRule="auto"/>
        <w:ind w:firstLineChars="200" w:firstLine="600"/>
        <w:jc w:val="both"/>
        <w:rPr>
          <w:rFonts w:ascii="仿宋_GB2312" w:eastAsia="仿宋_GB2312" w:hAnsi="宋体"/>
          <w:color w:val="auto"/>
          <w:sz w:val="30"/>
          <w:szCs w:val="30"/>
        </w:rPr>
      </w:pPr>
      <w:r>
        <w:rPr>
          <w:rFonts w:ascii="仿宋_GB2312" w:eastAsia="仿宋_GB2312" w:hAnsi="宋体" w:hint="eastAsia"/>
          <w:color w:val="auto"/>
          <w:sz w:val="30"/>
          <w:szCs w:val="30"/>
        </w:rPr>
        <w:t>2</w:t>
      </w:r>
      <w:r>
        <w:rPr>
          <w:rFonts w:ascii="仿宋_GB2312" w:eastAsia="仿宋_GB2312" w:hAnsi="宋体"/>
          <w:color w:val="auto"/>
          <w:sz w:val="30"/>
          <w:szCs w:val="30"/>
        </w:rPr>
        <w:t>.</w:t>
      </w:r>
      <w:r>
        <w:rPr>
          <w:rFonts w:ascii="仿宋_GB2312" w:eastAsia="仿宋_GB2312" w:hAnsi="宋体" w:hint="eastAsia"/>
          <w:color w:val="auto"/>
          <w:sz w:val="30"/>
          <w:szCs w:val="30"/>
        </w:rPr>
        <w:t>一方作为承销团成员承销另一方公开发行的股票、公司债券或企业债券、可转换公司债券或者其他衍生品种；</w:t>
      </w:r>
    </w:p>
    <w:p w:rsidR="005C402C" w:rsidRDefault="005C402C" w:rsidP="005C402C">
      <w:pPr>
        <w:pStyle w:val="ae"/>
        <w:widowControl w:val="0"/>
        <w:adjustRightInd w:val="0"/>
        <w:snapToGrid w:val="0"/>
        <w:spacing w:before="0" w:after="0" w:line="360" w:lineRule="auto"/>
        <w:ind w:firstLineChars="200" w:firstLine="600"/>
        <w:jc w:val="both"/>
        <w:rPr>
          <w:rFonts w:ascii="仿宋_GB2312" w:eastAsia="仿宋_GB2312" w:hAnsi="宋体"/>
          <w:color w:val="auto"/>
          <w:sz w:val="30"/>
          <w:szCs w:val="30"/>
        </w:rPr>
      </w:pPr>
      <w:r>
        <w:rPr>
          <w:rFonts w:ascii="仿宋_GB2312" w:eastAsia="仿宋_GB2312" w:hAnsi="宋体" w:hint="eastAsia"/>
          <w:color w:val="auto"/>
          <w:sz w:val="30"/>
          <w:szCs w:val="30"/>
        </w:rPr>
        <w:t>3</w:t>
      </w:r>
      <w:r>
        <w:rPr>
          <w:rFonts w:ascii="仿宋_GB2312" w:eastAsia="仿宋_GB2312" w:hAnsi="宋体"/>
          <w:color w:val="auto"/>
          <w:sz w:val="30"/>
          <w:szCs w:val="30"/>
        </w:rPr>
        <w:t>.</w:t>
      </w:r>
      <w:r>
        <w:rPr>
          <w:rFonts w:ascii="仿宋_GB2312" w:eastAsia="仿宋_GB2312" w:hAnsi="宋体" w:hint="eastAsia"/>
          <w:color w:val="auto"/>
          <w:sz w:val="30"/>
          <w:szCs w:val="30"/>
        </w:rPr>
        <w:t>一方依据另一方股东大会决议领取股息、红利或者报酬；</w:t>
      </w:r>
    </w:p>
    <w:p w:rsidR="005C402C" w:rsidRDefault="005C402C" w:rsidP="005C402C">
      <w:pPr>
        <w:pStyle w:val="ae"/>
        <w:widowControl w:val="0"/>
        <w:adjustRightInd w:val="0"/>
        <w:snapToGrid w:val="0"/>
        <w:spacing w:before="0" w:after="0" w:line="360" w:lineRule="auto"/>
        <w:ind w:firstLineChars="200" w:firstLine="600"/>
        <w:jc w:val="both"/>
        <w:rPr>
          <w:rFonts w:ascii="仿宋_GB2312" w:eastAsia="仿宋_GB2312" w:hAnsi="宋体"/>
          <w:color w:val="auto"/>
          <w:sz w:val="30"/>
          <w:szCs w:val="30"/>
        </w:rPr>
      </w:pPr>
      <w:r>
        <w:rPr>
          <w:rFonts w:ascii="仿宋_GB2312" w:eastAsia="仿宋_GB2312" w:hAnsi="宋体" w:hint="eastAsia"/>
          <w:color w:val="auto"/>
          <w:sz w:val="30"/>
          <w:szCs w:val="30"/>
        </w:rPr>
        <w:t>4</w:t>
      </w:r>
      <w:r>
        <w:rPr>
          <w:rFonts w:ascii="仿宋_GB2312" w:eastAsia="仿宋_GB2312" w:hAnsi="宋体"/>
          <w:color w:val="auto"/>
          <w:sz w:val="30"/>
          <w:szCs w:val="30"/>
        </w:rPr>
        <w:t>.</w:t>
      </w:r>
      <w:r>
        <w:rPr>
          <w:rFonts w:ascii="仿宋_GB2312" w:eastAsia="仿宋_GB2312" w:hAnsi="宋体" w:hint="eastAsia"/>
          <w:color w:val="auto"/>
          <w:sz w:val="30"/>
          <w:szCs w:val="30"/>
        </w:rPr>
        <w:t>上交</w:t>
      </w:r>
      <w:r>
        <w:rPr>
          <w:rFonts w:ascii="仿宋_GB2312" w:eastAsia="仿宋_GB2312" w:hAnsi="宋体"/>
          <w:color w:val="auto"/>
          <w:sz w:val="30"/>
          <w:szCs w:val="30"/>
        </w:rPr>
        <w:t>所</w:t>
      </w:r>
      <w:r>
        <w:rPr>
          <w:rFonts w:ascii="仿宋_GB2312" w:eastAsia="仿宋_GB2312" w:hAnsi="宋体" w:hint="eastAsia"/>
          <w:color w:val="auto"/>
          <w:sz w:val="30"/>
          <w:szCs w:val="30"/>
        </w:rPr>
        <w:t>认定的其他交易。</w:t>
      </w:r>
    </w:p>
    <w:p w:rsidR="005C402C" w:rsidRDefault="005C402C" w:rsidP="005C402C">
      <w:pPr>
        <w:pStyle w:val="ae"/>
        <w:widowControl w:val="0"/>
        <w:adjustRightInd w:val="0"/>
        <w:snapToGrid w:val="0"/>
        <w:spacing w:before="0" w:after="0" w:line="360" w:lineRule="auto"/>
        <w:ind w:firstLineChars="200" w:firstLine="600"/>
        <w:jc w:val="both"/>
        <w:rPr>
          <w:rFonts w:ascii="仿宋_GB2312" w:eastAsia="仿宋_GB2312" w:hAnsi="宋体"/>
          <w:color w:val="auto"/>
          <w:sz w:val="30"/>
          <w:szCs w:val="30"/>
        </w:rPr>
      </w:pPr>
      <w:r>
        <w:rPr>
          <w:rFonts w:ascii="仿宋_GB2312" w:eastAsia="仿宋_GB2312" w:hAnsi="宋体" w:hint="eastAsia"/>
          <w:sz w:val="30"/>
          <w:szCs w:val="30"/>
        </w:rPr>
        <w:t>董事会办公室负责本行关联方与关联交易信息的披露及申请豁免事宜。</w:t>
      </w:r>
    </w:p>
    <w:p w:rsidR="005C402C" w:rsidRDefault="005C402C" w:rsidP="005C402C">
      <w:pPr>
        <w:pStyle w:val="ae"/>
        <w:widowControl w:val="0"/>
        <w:tabs>
          <w:tab w:val="left" w:pos="2127"/>
        </w:tabs>
        <w:adjustRightInd w:val="0"/>
        <w:snapToGrid w:val="0"/>
        <w:spacing w:before="0" w:after="0" w:line="360" w:lineRule="auto"/>
        <w:ind w:firstLine="0"/>
        <w:jc w:val="center"/>
        <w:rPr>
          <w:rFonts w:ascii="仿宋_GB2312" w:eastAsia="仿宋_GB2312" w:hAnsi="宋体"/>
          <w:b/>
          <w:color w:val="auto"/>
          <w:sz w:val="30"/>
          <w:szCs w:val="30"/>
        </w:rPr>
      </w:pPr>
      <w:r>
        <w:rPr>
          <w:rFonts w:ascii="仿宋_GB2312" w:eastAsia="仿宋_GB2312" w:hAnsi="宋体" w:hint="eastAsia"/>
          <w:b/>
          <w:color w:val="auto"/>
          <w:sz w:val="30"/>
          <w:szCs w:val="30"/>
        </w:rPr>
        <w:t>第七</w:t>
      </w:r>
      <w:r>
        <w:rPr>
          <w:rFonts w:ascii="仿宋_GB2312" w:eastAsia="仿宋_GB2312" w:hAnsi="宋体"/>
          <w:b/>
          <w:color w:val="auto"/>
          <w:sz w:val="30"/>
          <w:szCs w:val="30"/>
        </w:rPr>
        <w:t>章</w:t>
      </w:r>
      <w:r>
        <w:rPr>
          <w:rFonts w:ascii="仿宋_GB2312" w:eastAsia="仿宋_GB2312" w:hAnsi="宋体" w:hint="eastAsia"/>
          <w:b/>
          <w:color w:val="auto"/>
          <w:sz w:val="30"/>
          <w:szCs w:val="30"/>
        </w:rPr>
        <w:t xml:space="preserve">  关联交易</w:t>
      </w:r>
      <w:r>
        <w:rPr>
          <w:rFonts w:ascii="仿宋_GB2312" w:eastAsia="仿宋_GB2312" w:hAnsi="宋体"/>
          <w:b/>
          <w:color w:val="auto"/>
          <w:sz w:val="30"/>
          <w:szCs w:val="30"/>
        </w:rPr>
        <w:t>的</w:t>
      </w:r>
      <w:r>
        <w:rPr>
          <w:rFonts w:ascii="仿宋_GB2312" w:eastAsia="仿宋_GB2312" w:hAnsi="宋体" w:hint="eastAsia"/>
          <w:b/>
          <w:color w:val="auto"/>
          <w:sz w:val="30"/>
          <w:szCs w:val="30"/>
        </w:rPr>
        <w:t>风险</w:t>
      </w:r>
      <w:r>
        <w:rPr>
          <w:rFonts w:ascii="仿宋_GB2312" w:eastAsia="仿宋_GB2312" w:hAnsi="宋体"/>
          <w:b/>
          <w:color w:val="auto"/>
          <w:sz w:val="30"/>
          <w:szCs w:val="30"/>
        </w:rPr>
        <w:t>控制</w:t>
      </w:r>
    </w:p>
    <w:p w:rsidR="005C402C" w:rsidRDefault="005C402C" w:rsidP="005C402C">
      <w:pPr>
        <w:pStyle w:val="ae"/>
        <w:widowControl w:val="0"/>
        <w:adjustRightInd w:val="0"/>
        <w:snapToGrid w:val="0"/>
        <w:spacing w:before="0" w:after="0" w:line="360" w:lineRule="auto"/>
        <w:ind w:firstLineChars="200" w:firstLine="602"/>
        <w:jc w:val="both"/>
        <w:rPr>
          <w:rFonts w:ascii="仿宋_GB2312" w:eastAsia="仿宋_GB2312" w:hAnsi="宋体"/>
          <w:sz w:val="30"/>
          <w:szCs w:val="30"/>
        </w:rPr>
      </w:pPr>
      <w:r>
        <w:rPr>
          <w:rFonts w:ascii="仿宋_GB2312" w:eastAsia="仿宋_GB2312" w:hAnsi="宋体" w:hint="eastAsia"/>
          <w:b/>
          <w:sz w:val="30"/>
          <w:szCs w:val="30"/>
        </w:rPr>
        <w:t>第四十八</w:t>
      </w:r>
      <w:r>
        <w:rPr>
          <w:rFonts w:ascii="仿宋_GB2312" w:eastAsia="仿宋_GB2312" w:hAnsi="宋体"/>
          <w:b/>
          <w:sz w:val="30"/>
          <w:szCs w:val="30"/>
        </w:rPr>
        <w:t>条</w:t>
      </w:r>
      <w:r>
        <w:rPr>
          <w:rFonts w:ascii="仿宋_GB2312" w:eastAsia="仿宋_GB2312" w:hAnsi="宋体" w:hint="eastAsia"/>
          <w:sz w:val="30"/>
          <w:szCs w:val="30"/>
        </w:rPr>
        <w:t xml:space="preserve">  本行不得向关联方发放无担保贷款；不得接受本行的股权作为质押向关联方提供授信；</w:t>
      </w:r>
      <w:r>
        <w:rPr>
          <w:rFonts w:ascii="仿宋_GB2312" w:eastAsia="仿宋_GB2312" w:hAnsi="宋体"/>
          <w:sz w:val="30"/>
          <w:szCs w:val="30"/>
        </w:rPr>
        <w:t>不得为</w:t>
      </w:r>
      <w:r>
        <w:rPr>
          <w:rFonts w:ascii="仿宋_GB2312" w:eastAsia="仿宋_GB2312" w:hAnsi="宋体" w:hint="eastAsia"/>
          <w:sz w:val="30"/>
          <w:szCs w:val="30"/>
        </w:rPr>
        <w:t xml:space="preserve">关联方的融资行为提供担保（但关联方以银行存单、国债提供足额反担保的除外）。 </w:t>
      </w:r>
    </w:p>
    <w:p w:rsidR="005C402C" w:rsidRDefault="005C402C" w:rsidP="005C402C">
      <w:pPr>
        <w:pStyle w:val="ae"/>
        <w:widowControl w:val="0"/>
        <w:adjustRightInd w:val="0"/>
        <w:snapToGrid w:val="0"/>
        <w:spacing w:before="0" w:after="0" w:line="360" w:lineRule="auto"/>
        <w:ind w:firstLineChars="200" w:firstLine="602"/>
        <w:jc w:val="both"/>
        <w:rPr>
          <w:rFonts w:ascii="仿宋_GB2312" w:eastAsia="仿宋_GB2312" w:hAnsi="宋体"/>
          <w:sz w:val="30"/>
          <w:szCs w:val="30"/>
        </w:rPr>
      </w:pPr>
      <w:r>
        <w:rPr>
          <w:rFonts w:ascii="仿宋_GB2312" w:eastAsia="仿宋_GB2312" w:hAnsi="宋体" w:hint="eastAsia"/>
          <w:b/>
          <w:sz w:val="30"/>
          <w:szCs w:val="30"/>
        </w:rPr>
        <w:t>第四十九条</w:t>
      </w:r>
      <w:r>
        <w:rPr>
          <w:rFonts w:ascii="仿宋_GB2312" w:eastAsia="仿宋_GB2312" w:hAnsi="宋体" w:hint="eastAsia"/>
          <w:sz w:val="30"/>
          <w:szCs w:val="30"/>
        </w:rPr>
        <w:t xml:space="preserve">  本行向关联方提供授信发生损失的，两年内不得再向该关联方提供授信（但为减少该授信损失，经董事会批准的除外）。</w:t>
      </w:r>
    </w:p>
    <w:p w:rsidR="005C402C" w:rsidRDefault="005C402C" w:rsidP="005C402C">
      <w:pPr>
        <w:pStyle w:val="ae"/>
        <w:widowControl w:val="0"/>
        <w:adjustRightInd w:val="0"/>
        <w:snapToGrid w:val="0"/>
        <w:spacing w:before="0" w:after="0" w:line="360" w:lineRule="auto"/>
        <w:ind w:firstLineChars="200" w:firstLine="602"/>
        <w:jc w:val="both"/>
        <w:rPr>
          <w:rFonts w:ascii="仿宋_GB2312" w:eastAsia="仿宋_GB2312" w:hAnsi="宋体"/>
          <w:sz w:val="30"/>
          <w:szCs w:val="30"/>
        </w:rPr>
      </w:pPr>
      <w:r>
        <w:rPr>
          <w:rFonts w:ascii="仿宋_GB2312" w:eastAsia="仿宋_GB2312" w:hAnsi="宋体" w:hint="eastAsia"/>
          <w:b/>
          <w:sz w:val="30"/>
          <w:szCs w:val="30"/>
        </w:rPr>
        <w:t>第五十条</w:t>
      </w:r>
      <w:r>
        <w:rPr>
          <w:rFonts w:ascii="仿宋_GB2312" w:eastAsia="仿宋_GB2312" w:hAnsi="宋体" w:hint="eastAsia"/>
          <w:sz w:val="30"/>
          <w:szCs w:val="30"/>
        </w:rPr>
        <w:t xml:space="preserve">  本行的一笔关联交易被否决后，在六个月内不得就同一内容</w:t>
      </w:r>
      <w:r>
        <w:rPr>
          <w:rFonts w:ascii="仿宋_GB2312" w:eastAsia="仿宋_GB2312" w:hAnsi="宋体"/>
          <w:sz w:val="30"/>
          <w:szCs w:val="30"/>
        </w:rPr>
        <w:t>的关联交易</w:t>
      </w:r>
      <w:r>
        <w:rPr>
          <w:rFonts w:ascii="仿宋_GB2312" w:eastAsia="仿宋_GB2312" w:hAnsi="宋体" w:hint="eastAsia"/>
          <w:sz w:val="30"/>
          <w:szCs w:val="30"/>
        </w:rPr>
        <w:t>进行审议。</w:t>
      </w:r>
    </w:p>
    <w:p w:rsidR="005C402C" w:rsidRDefault="005C402C" w:rsidP="005C402C">
      <w:pPr>
        <w:pStyle w:val="ae"/>
        <w:widowControl w:val="0"/>
        <w:adjustRightInd w:val="0"/>
        <w:snapToGrid w:val="0"/>
        <w:spacing w:before="0" w:after="0" w:line="360" w:lineRule="auto"/>
        <w:ind w:firstLineChars="200" w:firstLine="602"/>
        <w:jc w:val="both"/>
        <w:rPr>
          <w:rFonts w:ascii="仿宋_GB2312" w:eastAsia="仿宋_GB2312" w:hAnsi="宋体"/>
          <w:sz w:val="30"/>
          <w:szCs w:val="30"/>
        </w:rPr>
      </w:pPr>
      <w:r>
        <w:rPr>
          <w:rFonts w:ascii="仿宋_GB2312" w:eastAsia="仿宋_GB2312" w:hAnsi="宋体" w:hint="eastAsia"/>
          <w:b/>
          <w:sz w:val="30"/>
          <w:szCs w:val="30"/>
        </w:rPr>
        <w:t>第五十一条</w:t>
      </w:r>
      <w:r>
        <w:rPr>
          <w:rFonts w:ascii="仿宋_GB2312" w:eastAsia="仿宋_GB2312" w:hAnsi="宋体" w:hint="eastAsia"/>
          <w:sz w:val="30"/>
          <w:szCs w:val="30"/>
        </w:rPr>
        <w:t xml:space="preserve">  本行对包括</w:t>
      </w:r>
      <w:r>
        <w:rPr>
          <w:rFonts w:ascii="仿宋_GB2312" w:eastAsia="仿宋_GB2312" w:hAnsi="宋体"/>
          <w:sz w:val="30"/>
          <w:szCs w:val="30"/>
        </w:rPr>
        <w:t>主要股东及其控股股东、实际控制人、</w:t>
      </w:r>
      <w:r>
        <w:rPr>
          <w:rFonts w:ascii="仿宋_GB2312" w:eastAsia="仿宋_GB2312" w:hAnsi="宋体" w:hint="eastAsia"/>
          <w:sz w:val="30"/>
          <w:szCs w:val="30"/>
        </w:rPr>
        <w:t>关联</w:t>
      </w:r>
      <w:r>
        <w:rPr>
          <w:rFonts w:ascii="仿宋_GB2312" w:eastAsia="仿宋_GB2312" w:hAnsi="宋体"/>
          <w:sz w:val="30"/>
          <w:szCs w:val="30"/>
        </w:rPr>
        <w:t>方、一致行动人、最终受益人等在内的</w:t>
      </w:r>
      <w:r>
        <w:rPr>
          <w:rFonts w:ascii="仿宋_GB2312" w:eastAsia="仿宋_GB2312" w:hAnsi="宋体" w:hint="eastAsia"/>
          <w:sz w:val="30"/>
          <w:szCs w:val="30"/>
        </w:rPr>
        <w:t>单个关联方的授信余额不得超过本行资本净额的10%；对一个关联法人或其他组</w:t>
      </w:r>
      <w:r>
        <w:rPr>
          <w:rFonts w:ascii="仿宋_GB2312" w:eastAsia="仿宋_GB2312" w:hAnsi="宋体" w:hint="eastAsia"/>
          <w:sz w:val="30"/>
          <w:szCs w:val="30"/>
        </w:rPr>
        <w:lastRenderedPageBreak/>
        <w:t>织所在集团客户的合计授信余额不得超过本行资本净额的15%；对单个</w:t>
      </w:r>
      <w:r>
        <w:rPr>
          <w:rFonts w:ascii="仿宋_GB2312" w:eastAsia="仿宋_GB2312" w:hAnsi="宋体"/>
          <w:sz w:val="30"/>
          <w:szCs w:val="30"/>
        </w:rPr>
        <w:t>主要股东及其控股股东、实际控制人、</w:t>
      </w:r>
      <w:r>
        <w:rPr>
          <w:rFonts w:ascii="仿宋_GB2312" w:eastAsia="仿宋_GB2312" w:hAnsi="宋体" w:hint="eastAsia"/>
          <w:sz w:val="30"/>
          <w:szCs w:val="30"/>
        </w:rPr>
        <w:t>关联</w:t>
      </w:r>
      <w:r>
        <w:rPr>
          <w:rFonts w:ascii="仿宋_GB2312" w:eastAsia="仿宋_GB2312" w:hAnsi="宋体"/>
          <w:sz w:val="30"/>
          <w:szCs w:val="30"/>
        </w:rPr>
        <w:t>方、一致行动人、最终受益人</w:t>
      </w:r>
      <w:r>
        <w:rPr>
          <w:rFonts w:ascii="仿宋_GB2312" w:eastAsia="仿宋_GB2312" w:hAnsi="宋体" w:hint="eastAsia"/>
          <w:sz w:val="30"/>
          <w:szCs w:val="30"/>
        </w:rPr>
        <w:t>的</w:t>
      </w:r>
      <w:r>
        <w:rPr>
          <w:rFonts w:ascii="仿宋_GB2312" w:eastAsia="仿宋_GB2312" w:hAnsi="宋体"/>
          <w:sz w:val="30"/>
          <w:szCs w:val="30"/>
        </w:rPr>
        <w:t>合计授信余额不得超过本行资本净额的</w:t>
      </w:r>
      <w:r>
        <w:rPr>
          <w:rFonts w:ascii="仿宋_GB2312" w:eastAsia="仿宋_GB2312" w:hAnsi="宋体" w:hint="eastAsia"/>
          <w:sz w:val="30"/>
          <w:szCs w:val="30"/>
        </w:rPr>
        <w:t>15</w:t>
      </w:r>
      <w:r>
        <w:rPr>
          <w:rFonts w:ascii="仿宋_GB2312" w:eastAsia="仿宋_GB2312" w:hAnsi="宋体"/>
          <w:sz w:val="30"/>
          <w:szCs w:val="30"/>
        </w:rPr>
        <w:t>%；对</w:t>
      </w:r>
      <w:r>
        <w:rPr>
          <w:rFonts w:ascii="仿宋_GB2312" w:eastAsia="仿宋_GB2312" w:hAnsi="宋体" w:hint="eastAsia"/>
          <w:sz w:val="30"/>
          <w:szCs w:val="30"/>
        </w:rPr>
        <w:t>全部关联方的授信余额不得超过本行资本净额的50%。</w:t>
      </w:r>
    </w:p>
    <w:p w:rsidR="005C402C" w:rsidRDefault="005C402C" w:rsidP="005C402C">
      <w:pPr>
        <w:pStyle w:val="ae"/>
        <w:widowControl w:val="0"/>
        <w:adjustRightInd w:val="0"/>
        <w:snapToGrid w:val="0"/>
        <w:spacing w:before="0" w:after="0" w:line="360" w:lineRule="auto"/>
        <w:ind w:firstLineChars="200" w:firstLine="600"/>
        <w:jc w:val="both"/>
        <w:rPr>
          <w:rFonts w:ascii="仿宋_GB2312" w:eastAsia="仿宋_GB2312" w:hAnsi="宋体"/>
          <w:sz w:val="30"/>
          <w:szCs w:val="30"/>
        </w:rPr>
      </w:pPr>
      <w:r>
        <w:rPr>
          <w:rFonts w:ascii="仿宋_GB2312" w:eastAsia="仿宋_GB2312" w:hAnsi="宋体" w:hint="eastAsia"/>
          <w:sz w:val="30"/>
          <w:szCs w:val="30"/>
        </w:rPr>
        <w:t>计算授信余额时，可以扣除授信时关联方提供的保证金存款以及质押的银行存单和国债金额。</w:t>
      </w:r>
    </w:p>
    <w:p w:rsidR="005C402C" w:rsidRDefault="005C402C" w:rsidP="005C402C">
      <w:pPr>
        <w:pStyle w:val="ae"/>
        <w:widowControl w:val="0"/>
        <w:adjustRightInd w:val="0"/>
        <w:snapToGrid w:val="0"/>
        <w:spacing w:before="0" w:after="0" w:line="360" w:lineRule="auto"/>
        <w:ind w:firstLineChars="200" w:firstLine="602"/>
        <w:jc w:val="both"/>
        <w:rPr>
          <w:rFonts w:ascii="仿宋_GB2312" w:eastAsia="仿宋_GB2312" w:hAnsi="宋体"/>
          <w:sz w:val="30"/>
          <w:szCs w:val="30"/>
        </w:rPr>
      </w:pPr>
      <w:r>
        <w:rPr>
          <w:rFonts w:ascii="仿宋_GB2312" w:eastAsia="仿宋_GB2312" w:hAnsi="宋体" w:hint="eastAsia"/>
          <w:b/>
          <w:sz w:val="30"/>
          <w:szCs w:val="30"/>
        </w:rPr>
        <w:t>第五十二条</w:t>
      </w:r>
      <w:r>
        <w:rPr>
          <w:rFonts w:ascii="仿宋_GB2312" w:eastAsia="仿宋_GB2312" w:hAnsi="宋体" w:hint="eastAsia"/>
          <w:sz w:val="30"/>
          <w:szCs w:val="30"/>
        </w:rPr>
        <w:t xml:space="preserve">  本行不得聘用关联方控制的会计师事务所为本行进行审计。</w:t>
      </w:r>
    </w:p>
    <w:p w:rsidR="005C402C" w:rsidRDefault="005C402C" w:rsidP="005C402C">
      <w:pPr>
        <w:pStyle w:val="ae"/>
        <w:widowControl w:val="0"/>
        <w:adjustRightInd w:val="0"/>
        <w:snapToGrid w:val="0"/>
        <w:spacing w:before="0" w:after="0" w:line="360" w:lineRule="auto"/>
        <w:ind w:firstLineChars="200" w:firstLine="602"/>
        <w:jc w:val="both"/>
        <w:rPr>
          <w:rFonts w:ascii="仿宋_GB2312" w:eastAsia="仿宋_GB2312" w:hAnsi="宋体"/>
          <w:sz w:val="30"/>
          <w:szCs w:val="30"/>
        </w:rPr>
      </w:pPr>
      <w:r>
        <w:rPr>
          <w:rFonts w:ascii="仿宋_GB2312" w:eastAsia="仿宋_GB2312" w:hAnsi="宋体" w:hint="eastAsia"/>
          <w:b/>
          <w:sz w:val="30"/>
          <w:szCs w:val="30"/>
        </w:rPr>
        <w:t>第五十三条</w:t>
      </w:r>
      <w:r>
        <w:rPr>
          <w:rFonts w:ascii="仿宋_GB2312" w:eastAsia="仿宋_GB2312" w:hAnsi="宋体" w:hint="eastAsia"/>
          <w:sz w:val="30"/>
          <w:szCs w:val="30"/>
        </w:rPr>
        <w:t xml:space="preserve">  本行</w:t>
      </w:r>
      <w:r>
        <w:rPr>
          <w:rFonts w:ascii="仿宋_GB2312" w:eastAsia="仿宋_GB2312" w:hAnsi="宋体"/>
          <w:sz w:val="30"/>
          <w:szCs w:val="30"/>
        </w:rPr>
        <w:t>的主要股东或其控股股东、实际控制人、关联方、一致行动人、最终受益人等为金融机构的，</w:t>
      </w:r>
      <w:r>
        <w:rPr>
          <w:rFonts w:ascii="仿宋_GB2312" w:eastAsia="仿宋_GB2312" w:hAnsi="宋体" w:hint="eastAsia"/>
          <w:sz w:val="30"/>
          <w:szCs w:val="30"/>
        </w:rPr>
        <w:t>本行</w:t>
      </w:r>
      <w:r>
        <w:rPr>
          <w:rFonts w:ascii="仿宋_GB2312" w:eastAsia="仿宋_GB2312" w:hAnsi="宋体"/>
          <w:sz w:val="30"/>
          <w:szCs w:val="30"/>
        </w:rPr>
        <w:t>与其开展同业业务时，应当遵守法律法规和相关监管部门关于同业业务的相关规定。</w:t>
      </w:r>
    </w:p>
    <w:p w:rsidR="005C402C" w:rsidRDefault="005C402C" w:rsidP="005C402C">
      <w:pPr>
        <w:pStyle w:val="ae"/>
        <w:widowControl w:val="0"/>
        <w:adjustRightInd w:val="0"/>
        <w:snapToGrid w:val="0"/>
        <w:spacing w:before="0" w:after="0" w:line="360" w:lineRule="auto"/>
        <w:ind w:firstLineChars="200" w:firstLine="602"/>
        <w:jc w:val="both"/>
        <w:rPr>
          <w:rFonts w:ascii="仿宋_GB2312" w:eastAsia="仿宋_GB2312" w:hAnsi="宋体"/>
          <w:sz w:val="30"/>
          <w:szCs w:val="30"/>
        </w:rPr>
      </w:pPr>
      <w:r>
        <w:rPr>
          <w:rFonts w:ascii="仿宋_GB2312" w:eastAsia="仿宋_GB2312" w:hAnsi="宋体" w:hint="eastAsia"/>
          <w:b/>
          <w:sz w:val="30"/>
          <w:szCs w:val="30"/>
        </w:rPr>
        <w:t>第五十四</w:t>
      </w:r>
      <w:r>
        <w:rPr>
          <w:rFonts w:ascii="仿宋_GB2312" w:eastAsia="仿宋_GB2312" w:hAnsi="宋体"/>
          <w:b/>
          <w:sz w:val="30"/>
          <w:szCs w:val="30"/>
        </w:rPr>
        <w:t>条</w:t>
      </w:r>
      <w:r>
        <w:rPr>
          <w:rFonts w:ascii="仿宋_GB2312" w:eastAsia="仿宋_GB2312" w:hAnsi="宋体" w:hint="eastAsia"/>
          <w:sz w:val="30"/>
          <w:szCs w:val="30"/>
        </w:rPr>
        <w:t xml:space="preserve">  </w:t>
      </w:r>
      <w:r>
        <w:rPr>
          <w:rFonts w:ascii="仿宋_GB2312" w:eastAsia="仿宋_GB2312" w:hAnsi="宋体"/>
          <w:sz w:val="30"/>
          <w:szCs w:val="30"/>
        </w:rPr>
        <w:t xml:space="preserve">不得以下列方式将资金直接或间接地提供给控股股东及其他关联方使用： </w:t>
      </w:r>
    </w:p>
    <w:p w:rsidR="005C402C" w:rsidRDefault="005C402C" w:rsidP="005C402C">
      <w:pPr>
        <w:pStyle w:val="ae"/>
        <w:widowControl w:val="0"/>
        <w:adjustRightInd w:val="0"/>
        <w:snapToGrid w:val="0"/>
        <w:spacing w:before="0" w:after="0" w:line="360" w:lineRule="auto"/>
        <w:ind w:firstLineChars="200" w:firstLine="600"/>
        <w:jc w:val="both"/>
        <w:rPr>
          <w:rFonts w:ascii="仿宋_GB2312" w:eastAsia="仿宋_GB2312" w:hAnsi="宋体"/>
          <w:sz w:val="30"/>
          <w:szCs w:val="30"/>
        </w:rPr>
      </w:pPr>
      <w:r>
        <w:rPr>
          <w:rFonts w:ascii="仿宋_GB2312" w:eastAsia="仿宋_GB2312" w:hAnsi="宋体" w:hint="eastAsia"/>
          <w:sz w:val="30"/>
          <w:szCs w:val="30"/>
        </w:rPr>
        <w:t>（一）</w:t>
      </w:r>
      <w:r>
        <w:rPr>
          <w:rFonts w:ascii="仿宋_GB2312" w:eastAsia="仿宋_GB2312" w:hAnsi="宋体"/>
          <w:sz w:val="30"/>
          <w:szCs w:val="30"/>
        </w:rPr>
        <w:t>有偿或无偿地</w:t>
      </w:r>
      <w:r>
        <w:rPr>
          <w:rFonts w:ascii="仿宋_GB2312" w:eastAsia="仿宋_GB2312" w:hAnsi="宋体" w:hint="eastAsia"/>
          <w:sz w:val="30"/>
          <w:szCs w:val="30"/>
        </w:rPr>
        <w:t>出借</w:t>
      </w:r>
      <w:r>
        <w:rPr>
          <w:rFonts w:ascii="仿宋_GB2312" w:eastAsia="仿宋_GB2312" w:hAnsi="宋体"/>
          <w:sz w:val="30"/>
          <w:szCs w:val="30"/>
        </w:rPr>
        <w:t>本行的资金给控股股东及其他关联方</w:t>
      </w:r>
      <w:r>
        <w:rPr>
          <w:rFonts w:ascii="仿宋_GB2312" w:eastAsia="仿宋_GB2312" w:hAnsi="宋体" w:hint="eastAsia"/>
          <w:sz w:val="30"/>
          <w:szCs w:val="30"/>
        </w:rPr>
        <w:t>使</w:t>
      </w:r>
      <w:r>
        <w:rPr>
          <w:rFonts w:ascii="仿宋_GB2312" w:eastAsia="仿宋_GB2312" w:hAnsi="宋体"/>
          <w:sz w:val="30"/>
          <w:szCs w:val="30"/>
        </w:rPr>
        <w:t>用（经营范围内正常的拆借业务除外）；</w:t>
      </w:r>
    </w:p>
    <w:p w:rsidR="005C402C" w:rsidRDefault="005C402C" w:rsidP="005C402C">
      <w:pPr>
        <w:pStyle w:val="ae"/>
        <w:widowControl w:val="0"/>
        <w:adjustRightInd w:val="0"/>
        <w:snapToGrid w:val="0"/>
        <w:spacing w:before="0" w:after="0" w:line="360" w:lineRule="auto"/>
        <w:ind w:firstLineChars="200" w:firstLine="600"/>
        <w:jc w:val="both"/>
        <w:rPr>
          <w:rFonts w:ascii="仿宋_GB2312" w:eastAsia="仿宋_GB2312" w:hAnsi="宋体"/>
          <w:sz w:val="30"/>
          <w:szCs w:val="30"/>
        </w:rPr>
      </w:pPr>
      <w:r>
        <w:rPr>
          <w:rFonts w:ascii="仿宋_GB2312" w:eastAsia="仿宋_GB2312" w:hAnsi="宋体" w:hint="eastAsia"/>
          <w:sz w:val="30"/>
          <w:szCs w:val="30"/>
        </w:rPr>
        <w:t>（二）</w:t>
      </w:r>
      <w:r>
        <w:rPr>
          <w:rFonts w:ascii="仿宋_GB2312" w:eastAsia="仿宋_GB2312" w:hAnsi="宋体"/>
          <w:sz w:val="30"/>
          <w:szCs w:val="30"/>
        </w:rPr>
        <w:t>直接或者通过子公司向董事、监事、高级管理人员提供借款（经营范围内正常的贷款业务除外）</w:t>
      </w:r>
      <w:r>
        <w:rPr>
          <w:rFonts w:ascii="仿宋_GB2312" w:eastAsia="仿宋_GB2312" w:hAnsi="宋体" w:hint="eastAsia"/>
          <w:sz w:val="30"/>
          <w:szCs w:val="30"/>
        </w:rPr>
        <w:t>；</w:t>
      </w:r>
    </w:p>
    <w:p w:rsidR="005C402C" w:rsidRDefault="005C402C" w:rsidP="005C402C">
      <w:pPr>
        <w:pStyle w:val="ae"/>
        <w:widowControl w:val="0"/>
        <w:adjustRightInd w:val="0"/>
        <w:snapToGrid w:val="0"/>
        <w:spacing w:before="0" w:after="0" w:line="360" w:lineRule="auto"/>
        <w:ind w:firstLineChars="200" w:firstLine="600"/>
        <w:jc w:val="both"/>
        <w:rPr>
          <w:rFonts w:ascii="仿宋_GB2312" w:eastAsia="仿宋_GB2312" w:hAnsi="宋体"/>
          <w:sz w:val="30"/>
          <w:szCs w:val="30"/>
        </w:rPr>
      </w:pPr>
      <w:r>
        <w:rPr>
          <w:rFonts w:ascii="仿宋_GB2312" w:eastAsia="仿宋_GB2312" w:hAnsi="宋体" w:hint="eastAsia"/>
          <w:sz w:val="30"/>
          <w:szCs w:val="30"/>
        </w:rPr>
        <w:t>（三）</w:t>
      </w:r>
      <w:r>
        <w:rPr>
          <w:rFonts w:ascii="仿宋_GB2312" w:eastAsia="仿宋_GB2312" w:hAnsi="宋体"/>
          <w:sz w:val="30"/>
          <w:szCs w:val="30"/>
        </w:rPr>
        <w:t>委托控股股东及其他关联方进行投资活动；</w:t>
      </w:r>
    </w:p>
    <w:p w:rsidR="005C402C" w:rsidRDefault="005C402C" w:rsidP="005C402C">
      <w:pPr>
        <w:pStyle w:val="ae"/>
        <w:widowControl w:val="0"/>
        <w:adjustRightInd w:val="0"/>
        <w:snapToGrid w:val="0"/>
        <w:spacing w:before="0" w:after="0" w:line="360" w:lineRule="auto"/>
        <w:ind w:firstLineChars="200" w:firstLine="600"/>
        <w:jc w:val="both"/>
        <w:rPr>
          <w:rFonts w:ascii="仿宋_GB2312" w:eastAsia="仿宋_GB2312" w:hAnsi="宋体"/>
          <w:sz w:val="30"/>
          <w:szCs w:val="30"/>
        </w:rPr>
      </w:pPr>
      <w:r>
        <w:rPr>
          <w:rFonts w:ascii="仿宋_GB2312" w:eastAsia="仿宋_GB2312" w:hAnsi="宋体" w:hint="eastAsia"/>
          <w:sz w:val="30"/>
          <w:szCs w:val="30"/>
        </w:rPr>
        <w:t>（四）</w:t>
      </w:r>
      <w:r>
        <w:rPr>
          <w:rFonts w:ascii="仿宋_GB2312" w:eastAsia="仿宋_GB2312" w:hAnsi="宋体"/>
          <w:sz w:val="30"/>
          <w:szCs w:val="30"/>
        </w:rPr>
        <w:t>为控股股东及其他关联方开具没有真实交易背景的商业承兑汇票；</w:t>
      </w:r>
    </w:p>
    <w:p w:rsidR="005C402C" w:rsidRDefault="005C402C" w:rsidP="005C402C">
      <w:pPr>
        <w:pStyle w:val="ae"/>
        <w:widowControl w:val="0"/>
        <w:adjustRightInd w:val="0"/>
        <w:snapToGrid w:val="0"/>
        <w:spacing w:before="0" w:after="0" w:line="360" w:lineRule="auto"/>
        <w:ind w:firstLineChars="200" w:firstLine="600"/>
        <w:jc w:val="both"/>
        <w:rPr>
          <w:rFonts w:ascii="仿宋_GB2312" w:eastAsia="仿宋_GB2312" w:hAnsi="宋体"/>
          <w:sz w:val="30"/>
          <w:szCs w:val="30"/>
        </w:rPr>
      </w:pPr>
      <w:r>
        <w:rPr>
          <w:rFonts w:ascii="仿宋_GB2312" w:eastAsia="仿宋_GB2312" w:hAnsi="宋体" w:hint="eastAsia"/>
          <w:sz w:val="30"/>
          <w:szCs w:val="30"/>
        </w:rPr>
        <w:t>（五）</w:t>
      </w:r>
      <w:r>
        <w:rPr>
          <w:rFonts w:ascii="仿宋_GB2312" w:eastAsia="仿宋_GB2312" w:hAnsi="宋体"/>
          <w:sz w:val="30"/>
          <w:szCs w:val="30"/>
        </w:rPr>
        <w:t>代关联方偿还债务</w:t>
      </w:r>
      <w:r>
        <w:rPr>
          <w:rFonts w:ascii="仿宋_GB2312" w:eastAsia="仿宋_GB2312" w:hAnsi="宋体" w:hint="eastAsia"/>
          <w:sz w:val="30"/>
          <w:szCs w:val="30"/>
        </w:rPr>
        <w:t>；</w:t>
      </w:r>
    </w:p>
    <w:p w:rsidR="005C402C" w:rsidRDefault="005C402C" w:rsidP="005C402C">
      <w:pPr>
        <w:pStyle w:val="ae"/>
        <w:widowControl w:val="0"/>
        <w:adjustRightInd w:val="0"/>
        <w:snapToGrid w:val="0"/>
        <w:spacing w:before="0" w:after="0" w:line="360" w:lineRule="auto"/>
        <w:ind w:firstLineChars="200" w:firstLine="600"/>
        <w:jc w:val="both"/>
        <w:rPr>
          <w:rFonts w:ascii="仿宋_GB2312" w:eastAsia="仿宋_GB2312" w:hAnsi="宋体"/>
          <w:sz w:val="30"/>
          <w:szCs w:val="30"/>
        </w:rPr>
      </w:pPr>
      <w:r>
        <w:rPr>
          <w:rFonts w:ascii="仿宋_GB2312" w:eastAsia="仿宋_GB2312" w:hAnsi="宋体" w:hint="eastAsia"/>
          <w:sz w:val="30"/>
          <w:szCs w:val="30"/>
        </w:rPr>
        <w:t>（六）对本行关联方及其关联企业提供融资性保函，但关联方以银行存单、国债提供足额反担保的除外；</w:t>
      </w:r>
    </w:p>
    <w:p w:rsidR="005C402C" w:rsidRDefault="005C402C" w:rsidP="005C402C">
      <w:pPr>
        <w:pStyle w:val="ae"/>
        <w:widowControl w:val="0"/>
        <w:adjustRightInd w:val="0"/>
        <w:snapToGrid w:val="0"/>
        <w:spacing w:before="0" w:after="0" w:line="360" w:lineRule="auto"/>
        <w:ind w:firstLineChars="200" w:firstLine="600"/>
        <w:jc w:val="both"/>
        <w:rPr>
          <w:rFonts w:ascii="仿宋_GB2312" w:eastAsia="仿宋_GB2312" w:hAnsi="宋体"/>
          <w:sz w:val="30"/>
          <w:szCs w:val="30"/>
        </w:rPr>
      </w:pPr>
      <w:r>
        <w:rPr>
          <w:rFonts w:ascii="仿宋_GB2312" w:eastAsia="仿宋_GB2312" w:hAnsi="宋体" w:hint="eastAsia"/>
          <w:sz w:val="30"/>
          <w:szCs w:val="30"/>
        </w:rPr>
        <w:lastRenderedPageBreak/>
        <w:t>（七）监管部门认定的其他方式。</w:t>
      </w:r>
    </w:p>
    <w:p w:rsidR="005C402C" w:rsidRDefault="005C402C" w:rsidP="005C402C">
      <w:pPr>
        <w:pStyle w:val="ae"/>
        <w:widowControl w:val="0"/>
        <w:adjustRightInd w:val="0"/>
        <w:snapToGrid w:val="0"/>
        <w:spacing w:before="0" w:after="0" w:line="360" w:lineRule="auto"/>
        <w:ind w:firstLineChars="200" w:firstLine="602"/>
        <w:jc w:val="both"/>
        <w:rPr>
          <w:rFonts w:ascii="仿宋_GB2312" w:eastAsia="仿宋_GB2312" w:hAnsi="宋体"/>
          <w:sz w:val="30"/>
          <w:szCs w:val="30"/>
        </w:rPr>
      </w:pPr>
      <w:r>
        <w:rPr>
          <w:rFonts w:ascii="仿宋_GB2312" w:eastAsia="仿宋_GB2312" w:hAnsi="宋体" w:hint="eastAsia"/>
          <w:b/>
          <w:sz w:val="30"/>
          <w:szCs w:val="30"/>
        </w:rPr>
        <w:t xml:space="preserve">第五十五条  </w:t>
      </w:r>
      <w:r>
        <w:rPr>
          <w:rFonts w:ascii="仿宋_GB2312" w:eastAsia="仿宋_GB2312" w:hAnsi="宋体" w:hint="eastAsia"/>
          <w:sz w:val="30"/>
          <w:szCs w:val="30"/>
        </w:rPr>
        <w:t>本行与关联交易管理相关的人员应当对获取或</w:t>
      </w:r>
      <w:r>
        <w:rPr>
          <w:rFonts w:ascii="仿宋_GB2312" w:eastAsia="仿宋_GB2312" w:hAnsi="宋体"/>
          <w:sz w:val="30"/>
          <w:szCs w:val="30"/>
        </w:rPr>
        <w:t>知悉</w:t>
      </w:r>
      <w:r>
        <w:rPr>
          <w:rFonts w:ascii="仿宋_GB2312" w:eastAsia="仿宋_GB2312" w:hAnsi="宋体" w:hint="eastAsia"/>
          <w:sz w:val="30"/>
          <w:szCs w:val="30"/>
        </w:rPr>
        <w:t>的关联方信息予以保密，不得将关联方信息用于关联交易管理以外的活动。</w:t>
      </w:r>
    </w:p>
    <w:p w:rsidR="005C402C" w:rsidRDefault="005C402C" w:rsidP="005C402C">
      <w:pPr>
        <w:pStyle w:val="1"/>
        <w:numPr>
          <w:ilvl w:val="0"/>
          <w:numId w:val="0"/>
        </w:numPr>
        <w:tabs>
          <w:tab w:val="left" w:pos="1260"/>
        </w:tabs>
        <w:adjustRightInd w:val="0"/>
        <w:snapToGrid w:val="0"/>
        <w:spacing w:after="0" w:line="360" w:lineRule="auto"/>
        <w:ind w:left="170" w:hanging="170"/>
        <w:jc w:val="center"/>
        <w:rPr>
          <w:rFonts w:ascii="仿宋_GB2312" w:eastAsia="仿宋_GB2312"/>
          <w:sz w:val="30"/>
          <w:szCs w:val="30"/>
          <w:lang w:eastAsia="zh-CN"/>
        </w:rPr>
      </w:pPr>
      <w:r>
        <w:rPr>
          <w:rFonts w:ascii="仿宋_GB2312" w:eastAsia="仿宋_GB2312" w:hAnsi="宋体" w:hint="eastAsia"/>
          <w:sz w:val="30"/>
          <w:szCs w:val="30"/>
          <w:lang w:eastAsia="zh-CN"/>
        </w:rPr>
        <w:t>第八</w:t>
      </w:r>
      <w:r>
        <w:rPr>
          <w:rFonts w:ascii="仿宋_GB2312" w:eastAsia="仿宋_GB2312" w:hAnsi="宋体"/>
          <w:sz w:val="30"/>
          <w:szCs w:val="30"/>
          <w:lang w:eastAsia="zh-CN"/>
        </w:rPr>
        <w:t>章</w:t>
      </w:r>
      <w:r>
        <w:rPr>
          <w:rFonts w:ascii="仿宋_GB2312" w:eastAsia="仿宋_GB2312" w:hAnsi="宋体" w:hint="eastAsia"/>
          <w:sz w:val="30"/>
          <w:szCs w:val="30"/>
          <w:lang w:eastAsia="zh-CN"/>
        </w:rPr>
        <w:t xml:space="preserve">  </w:t>
      </w:r>
      <w:bookmarkStart w:id="8" w:name="_Toc20055694"/>
      <w:bookmarkStart w:id="9" w:name="_Toc20055695"/>
      <w:bookmarkStart w:id="10" w:name="_Toc20055696"/>
      <w:bookmarkStart w:id="11" w:name="_Toc20055697"/>
      <w:bookmarkStart w:id="12" w:name="_Toc20055698"/>
      <w:bookmarkStart w:id="13" w:name="_Toc20055699"/>
      <w:bookmarkStart w:id="14" w:name="_Toc20055701"/>
      <w:bookmarkStart w:id="15" w:name="_Toc20055702"/>
      <w:bookmarkStart w:id="16" w:name="_Toc20055704"/>
      <w:bookmarkStart w:id="17" w:name="_Toc20055705"/>
      <w:bookmarkStart w:id="18" w:name="_Toc20055706"/>
      <w:bookmarkStart w:id="19" w:name="_Toc20055707"/>
      <w:bookmarkStart w:id="20" w:name="_Toc20055708"/>
      <w:bookmarkStart w:id="21" w:name="_Toc20055709"/>
      <w:bookmarkStart w:id="22" w:name="_Toc20055710"/>
      <w:bookmarkStart w:id="23" w:name="_Toc20055711"/>
      <w:bookmarkStart w:id="24" w:name="_Toc20055712"/>
      <w:bookmarkStart w:id="25" w:name="_Toc20055713"/>
      <w:bookmarkStart w:id="26" w:name="_Toc20055714"/>
      <w:bookmarkStart w:id="27" w:name="_Toc20055716"/>
      <w:bookmarkStart w:id="28" w:name="_Toc20055717"/>
      <w:bookmarkStart w:id="29" w:name="_Toc20055718"/>
      <w:bookmarkStart w:id="30" w:name="_Toc20055719"/>
      <w:bookmarkStart w:id="31" w:name="_Toc20055720"/>
      <w:bookmarkStart w:id="32" w:name="_Toc20055721"/>
      <w:bookmarkStart w:id="33" w:name="_Toc20055722"/>
      <w:bookmarkStart w:id="34" w:name="_Toc20055689"/>
      <w:bookmarkStart w:id="35" w:name="_Toc20055691"/>
      <w:bookmarkStart w:id="36" w:name="_Toc20055692"/>
      <w:bookmarkStart w:id="37" w:name="_Toc20055693"/>
      <w:bookmarkStart w:id="38" w:name="_Toc20055724"/>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Pr>
          <w:rFonts w:ascii="仿宋_GB2312" w:eastAsia="仿宋_GB2312" w:hint="eastAsia"/>
          <w:sz w:val="30"/>
          <w:szCs w:val="30"/>
          <w:lang w:eastAsia="zh-CN"/>
        </w:rPr>
        <w:t>关联交易的管理职责</w:t>
      </w:r>
      <w:bookmarkEnd w:id="7"/>
      <w:bookmarkEnd w:id="38"/>
    </w:p>
    <w:p w:rsidR="005C402C" w:rsidRDefault="005C402C" w:rsidP="005C402C">
      <w:pPr>
        <w:pStyle w:val="ae"/>
        <w:widowControl w:val="0"/>
        <w:tabs>
          <w:tab w:val="left" w:pos="1701"/>
          <w:tab w:val="left" w:pos="2807"/>
        </w:tabs>
        <w:adjustRightInd w:val="0"/>
        <w:snapToGrid w:val="0"/>
        <w:spacing w:before="0" w:after="0" w:line="360" w:lineRule="auto"/>
        <w:ind w:left="567" w:firstLine="0"/>
        <w:jc w:val="both"/>
        <w:rPr>
          <w:rFonts w:ascii="仿宋_GB2312" w:eastAsia="仿宋_GB2312" w:hAnsi="宋体"/>
          <w:color w:val="auto"/>
          <w:sz w:val="30"/>
          <w:szCs w:val="30"/>
        </w:rPr>
      </w:pPr>
      <w:r>
        <w:rPr>
          <w:rFonts w:ascii="仿宋_GB2312" w:eastAsia="仿宋_GB2312" w:hAnsi="华文细黑" w:hint="eastAsia"/>
          <w:b/>
          <w:color w:val="auto"/>
          <w:sz w:val="30"/>
          <w:szCs w:val="30"/>
        </w:rPr>
        <w:t>第五十六</w:t>
      </w:r>
      <w:r>
        <w:rPr>
          <w:rFonts w:ascii="仿宋_GB2312" w:eastAsia="仿宋_GB2312" w:hAnsi="华文细黑"/>
          <w:b/>
          <w:color w:val="auto"/>
          <w:sz w:val="30"/>
          <w:szCs w:val="30"/>
        </w:rPr>
        <w:t>条</w:t>
      </w:r>
      <w:r>
        <w:rPr>
          <w:rFonts w:ascii="仿宋_GB2312" w:eastAsia="仿宋_GB2312" w:hAnsi="华文细黑" w:hint="eastAsia"/>
          <w:b/>
          <w:color w:val="auto"/>
          <w:sz w:val="30"/>
          <w:szCs w:val="30"/>
        </w:rPr>
        <w:t xml:space="preserve">  </w:t>
      </w:r>
      <w:r>
        <w:rPr>
          <w:rFonts w:ascii="仿宋_GB2312" w:eastAsia="仿宋_GB2312" w:hAnsi="宋体" w:hint="eastAsia"/>
          <w:color w:val="auto"/>
          <w:sz w:val="30"/>
          <w:szCs w:val="30"/>
        </w:rPr>
        <w:t>股东大会负责</w:t>
      </w:r>
      <w:r>
        <w:rPr>
          <w:rFonts w:ascii="仿宋_GB2312" w:eastAsia="仿宋_GB2312" w:hAnsi="宋体"/>
          <w:color w:val="auto"/>
          <w:sz w:val="30"/>
          <w:szCs w:val="30"/>
        </w:rPr>
        <w:t>审议</w:t>
      </w:r>
      <w:r>
        <w:rPr>
          <w:rFonts w:ascii="仿宋_GB2312" w:eastAsia="仿宋_GB2312" w:hAnsi="宋体" w:hint="eastAsia"/>
          <w:color w:val="auto"/>
          <w:sz w:val="30"/>
          <w:szCs w:val="30"/>
        </w:rPr>
        <w:t>以下</w:t>
      </w:r>
      <w:r>
        <w:rPr>
          <w:rFonts w:ascii="仿宋_GB2312" w:eastAsia="仿宋_GB2312" w:hAnsi="宋体"/>
          <w:color w:val="auto"/>
          <w:sz w:val="30"/>
          <w:szCs w:val="30"/>
        </w:rPr>
        <w:t>关联交易</w:t>
      </w:r>
      <w:r>
        <w:rPr>
          <w:rFonts w:ascii="仿宋_GB2312" w:eastAsia="仿宋_GB2312" w:hAnsi="宋体" w:hint="eastAsia"/>
          <w:color w:val="auto"/>
          <w:sz w:val="30"/>
          <w:szCs w:val="30"/>
        </w:rPr>
        <w:t>：</w:t>
      </w:r>
    </w:p>
    <w:p w:rsidR="005C402C" w:rsidRDefault="005C402C" w:rsidP="005C402C">
      <w:pPr>
        <w:pStyle w:val="ae"/>
        <w:widowControl w:val="0"/>
        <w:adjustRightInd w:val="0"/>
        <w:snapToGrid w:val="0"/>
        <w:spacing w:before="0" w:after="0" w:line="360" w:lineRule="auto"/>
        <w:ind w:firstLineChars="200" w:firstLine="600"/>
        <w:jc w:val="both"/>
        <w:rPr>
          <w:rFonts w:ascii="仿宋_GB2312" w:eastAsia="仿宋_GB2312" w:hAnsi="宋体"/>
          <w:sz w:val="30"/>
          <w:szCs w:val="30"/>
        </w:rPr>
      </w:pPr>
      <w:r>
        <w:rPr>
          <w:rFonts w:ascii="仿宋_GB2312" w:eastAsia="仿宋_GB2312" w:hAnsi="宋体" w:hint="eastAsia"/>
          <w:sz w:val="30"/>
          <w:szCs w:val="30"/>
        </w:rPr>
        <w:t>（一）交易（本行提供担保、受赠现金资产、单纯减免本行义务的债务除外）金额在3000万元（含）以上,且占本行最近一期经审计净资产绝对值5％（含）以上的关联交易；</w:t>
      </w:r>
    </w:p>
    <w:p w:rsidR="005C402C" w:rsidRDefault="005C402C" w:rsidP="005C402C">
      <w:pPr>
        <w:pStyle w:val="ae"/>
        <w:widowControl w:val="0"/>
        <w:tabs>
          <w:tab w:val="left" w:pos="1701"/>
          <w:tab w:val="left" w:pos="2807"/>
        </w:tabs>
        <w:adjustRightInd w:val="0"/>
        <w:snapToGrid w:val="0"/>
        <w:spacing w:before="0" w:after="0" w:line="360" w:lineRule="auto"/>
        <w:ind w:firstLineChars="200" w:firstLine="600"/>
        <w:jc w:val="both"/>
        <w:rPr>
          <w:rFonts w:ascii="仿宋_GB2312" w:eastAsia="仿宋_GB2312" w:hAnsi="宋体"/>
          <w:sz w:val="30"/>
          <w:szCs w:val="30"/>
        </w:rPr>
      </w:pPr>
      <w:r>
        <w:rPr>
          <w:rFonts w:ascii="仿宋_GB2312" w:eastAsia="仿宋_GB2312" w:hAnsi="宋体" w:hint="eastAsia"/>
          <w:sz w:val="30"/>
          <w:szCs w:val="30"/>
        </w:rPr>
        <w:t>（二）为关联方提供非商业银行业务担保事项（不论金额大小）的关联交易；</w:t>
      </w:r>
    </w:p>
    <w:p w:rsidR="005C402C" w:rsidRDefault="005C402C" w:rsidP="005C402C">
      <w:pPr>
        <w:pStyle w:val="ae"/>
        <w:widowControl w:val="0"/>
        <w:tabs>
          <w:tab w:val="left" w:pos="1701"/>
          <w:tab w:val="left" w:pos="2807"/>
        </w:tabs>
        <w:adjustRightInd w:val="0"/>
        <w:snapToGrid w:val="0"/>
        <w:spacing w:before="0" w:after="0" w:line="360" w:lineRule="auto"/>
        <w:ind w:firstLineChars="200" w:firstLine="600"/>
        <w:jc w:val="both"/>
        <w:rPr>
          <w:rFonts w:ascii="仿宋_GB2312" w:eastAsia="仿宋_GB2312" w:hAnsi="华文细黑"/>
          <w:b/>
          <w:color w:val="auto"/>
          <w:sz w:val="30"/>
          <w:szCs w:val="30"/>
        </w:rPr>
      </w:pPr>
      <w:r>
        <w:rPr>
          <w:rFonts w:ascii="仿宋_GB2312" w:eastAsia="仿宋_GB2312" w:hAnsi="宋体" w:hint="eastAsia"/>
          <w:sz w:val="30"/>
          <w:szCs w:val="30"/>
        </w:rPr>
        <w:t>（三）其他由法律、行政法规、部门规章、监管机构、本行股票上市的证券交易所和本行章程规定的应当由股东大会审议的关联交易。</w:t>
      </w:r>
    </w:p>
    <w:p w:rsidR="005C402C" w:rsidRDefault="005C402C" w:rsidP="005C402C">
      <w:pPr>
        <w:pStyle w:val="ae"/>
        <w:widowControl w:val="0"/>
        <w:tabs>
          <w:tab w:val="left" w:pos="1701"/>
          <w:tab w:val="left" w:pos="2807"/>
        </w:tabs>
        <w:adjustRightInd w:val="0"/>
        <w:snapToGrid w:val="0"/>
        <w:spacing w:before="0" w:after="0" w:line="360" w:lineRule="auto"/>
        <w:ind w:firstLineChars="200" w:firstLine="602"/>
        <w:jc w:val="both"/>
        <w:rPr>
          <w:rFonts w:ascii="仿宋_GB2312" w:eastAsia="仿宋_GB2312" w:hAnsi="宋体"/>
          <w:color w:val="auto"/>
          <w:sz w:val="30"/>
          <w:szCs w:val="30"/>
        </w:rPr>
      </w:pPr>
      <w:r>
        <w:rPr>
          <w:rFonts w:ascii="仿宋_GB2312" w:eastAsia="仿宋_GB2312" w:hAnsi="华文细黑" w:hint="eastAsia"/>
          <w:b/>
          <w:color w:val="auto"/>
          <w:sz w:val="30"/>
          <w:szCs w:val="30"/>
        </w:rPr>
        <w:t>第五十七</w:t>
      </w:r>
      <w:r>
        <w:rPr>
          <w:rFonts w:ascii="仿宋_GB2312" w:eastAsia="仿宋_GB2312" w:hAnsi="华文细黑"/>
          <w:b/>
          <w:color w:val="auto"/>
          <w:sz w:val="30"/>
          <w:szCs w:val="30"/>
        </w:rPr>
        <w:t>条</w:t>
      </w:r>
      <w:r>
        <w:rPr>
          <w:rFonts w:ascii="仿宋_GB2312" w:eastAsia="仿宋_GB2312" w:hAnsi="华文细黑" w:hint="eastAsia"/>
          <w:b/>
          <w:color w:val="auto"/>
          <w:sz w:val="30"/>
          <w:szCs w:val="30"/>
        </w:rPr>
        <w:t xml:space="preserve">  </w:t>
      </w:r>
      <w:r>
        <w:rPr>
          <w:rFonts w:ascii="仿宋_GB2312" w:eastAsia="仿宋_GB2312" w:hAnsi="宋体" w:hint="eastAsia"/>
          <w:color w:val="auto"/>
          <w:sz w:val="30"/>
          <w:szCs w:val="30"/>
        </w:rPr>
        <w:t>董事会承担</w:t>
      </w:r>
      <w:r>
        <w:rPr>
          <w:rFonts w:ascii="仿宋_GB2312" w:eastAsia="仿宋_GB2312" w:hAnsi="宋体"/>
          <w:color w:val="auto"/>
          <w:sz w:val="30"/>
          <w:szCs w:val="30"/>
        </w:rPr>
        <w:t>以下</w:t>
      </w:r>
      <w:r>
        <w:rPr>
          <w:rFonts w:ascii="仿宋_GB2312" w:eastAsia="仿宋_GB2312" w:hAnsi="宋体" w:hint="eastAsia"/>
          <w:color w:val="auto"/>
          <w:sz w:val="30"/>
          <w:szCs w:val="30"/>
        </w:rPr>
        <w:t>职责：</w:t>
      </w:r>
    </w:p>
    <w:p w:rsidR="005C402C" w:rsidRDefault="005C402C" w:rsidP="005C402C">
      <w:pPr>
        <w:pStyle w:val="ae"/>
        <w:widowControl w:val="0"/>
        <w:adjustRightInd w:val="0"/>
        <w:snapToGrid w:val="0"/>
        <w:spacing w:before="0" w:after="0" w:line="360" w:lineRule="auto"/>
        <w:ind w:firstLineChars="200" w:firstLine="600"/>
        <w:jc w:val="both"/>
        <w:rPr>
          <w:rFonts w:ascii="仿宋_GB2312" w:eastAsia="仿宋_GB2312" w:hAnsi="宋体"/>
          <w:color w:val="auto"/>
          <w:sz w:val="30"/>
          <w:szCs w:val="30"/>
        </w:rPr>
      </w:pPr>
      <w:r>
        <w:rPr>
          <w:rFonts w:ascii="仿宋_GB2312" w:eastAsia="仿宋_GB2312" w:hAnsi="宋体" w:hint="eastAsia"/>
          <w:color w:val="auto"/>
          <w:sz w:val="30"/>
          <w:szCs w:val="30"/>
        </w:rPr>
        <w:t>（一）审议交易金额在3000万元（含）以上且占最近一期经审计净资产1%（含）以上的关联交易；审议除应提交</w:t>
      </w:r>
      <w:r>
        <w:rPr>
          <w:rFonts w:ascii="仿宋_GB2312" w:eastAsia="仿宋_GB2312" w:hAnsi="宋体"/>
          <w:color w:val="auto"/>
          <w:sz w:val="30"/>
          <w:szCs w:val="30"/>
        </w:rPr>
        <w:t>股东大会审议之外的</w:t>
      </w:r>
      <w:r>
        <w:rPr>
          <w:rFonts w:ascii="仿宋_GB2312" w:eastAsia="仿宋_GB2312" w:hAnsi="宋体" w:hint="eastAsia"/>
          <w:color w:val="auto"/>
          <w:sz w:val="30"/>
          <w:szCs w:val="30"/>
        </w:rPr>
        <w:t>重大关联交易；</w:t>
      </w:r>
    </w:p>
    <w:p w:rsidR="005C402C" w:rsidRDefault="005C402C" w:rsidP="005C402C">
      <w:pPr>
        <w:pStyle w:val="ae"/>
        <w:widowControl w:val="0"/>
        <w:adjustRightInd w:val="0"/>
        <w:snapToGrid w:val="0"/>
        <w:spacing w:before="0" w:after="0" w:line="360" w:lineRule="auto"/>
        <w:ind w:firstLineChars="200" w:firstLine="600"/>
        <w:jc w:val="both"/>
        <w:rPr>
          <w:rFonts w:ascii="仿宋_GB2312" w:eastAsia="仿宋_GB2312" w:hAnsi="宋体"/>
          <w:color w:val="auto"/>
          <w:sz w:val="30"/>
          <w:szCs w:val="30"/>
        </w:rPr>
      </w:pPr>
      <w:r>
        <w:rPr>
          <w:rFonts w:ascii="仿宋_GB2312" w:eastAsia="仿宋_GB2312" w:hAnsi="宋体" w:hint="eastAsia"/>
          <w:color w:val="auto"/>
          <w:sz w:val="30"/>
          <w:szCs w:val="30"/>
        </w:rPr>
        <w:t>（二）审议向获得过本行授信但在过去两年中对本行造成了损失的按照《商业银行与内部人和股东关联交易管理办法》、《商业银行股权管理暂行办法》认定的关联方提供进一步授信；</w:t>
      </w:r>
    </w:p>
    <w:p w:rsidR="005C402C" w:rsidRDefault="005C402C" w:rsidP="005C402C">
      <w:pPr>
        <w:pStyle w:val="ae"/>
        <w:widowControl w:val="0"/>
        <w:adjustRightInd w:val="0"/>
        <w:snapToGrid w:val="0"/>
        <w:spacing w:before="0" w:after="0" w:line="360" w:lineRule="auto"/>
        <w:ind w:firstLineChars="200" w:firstLine="600"/>
        <w:jc w:val="both"/>
        <w:rPr>
          <w:rFonts w:ascii="仿宋_GB2312" w:eastAsia="仿宋_GB2312" w:hAnsi="宋体"/>
          <w:color w:val="auto"/>
          <w:sz w:val="30"/>
          <w:szCs w:val="30"/>
        </w:rPr>
      </w:pPr>
      <w:r>
        <w:rPr>
          <w:rFonts w:ascii="仿宋_GB2312" w:eastAsia="仿宋_GB2312" w:hAnsi="宋体" w:hint="eastAsia"/>
          <w:color w:val="auto"/>
          <w:sz w:val="30"/>
          <w:szCs w:val="30"/>
        </w:rPr>
        <w:t>（三）审核需独立股东审批及</w:t>
      </w:r>
      <w:r>
        <w:rPr>
          <w:rFonts w:ascii="仿宋_GB2312" w:eastAsia="仿宋_GB2312" w:hAnsi="宋体"/>
          <w:color w:val="auto"/>
          <w:sz w:val="30"/>
          <w:szCs w:val="30"/>
        </w:rPr>
        <w:t>股东大会审议</w:t>
      </w:r>
      <w:r>
        <w:rPr>
          <w:rFonts w:ascii="仿宋_GB2312" w:eastAsia="仿宋_GB2312" w:hAnsi="宋体" w:hint="eastAsia"/>
          <w:color w:val="auto"/>
          <w:sz w:val="30"/>
          <w:szCs w:val="30"/>
        </w:rPr>
        <w:t>的关联交易；</w:t>
      </w:r>
    </w:p>
    <w:p w:rsidR="005C402C" w:rsidRDefault="005C402C" w:rsidP="005C402C">
      <w:pPr>
        <w:pStyle w:val="ae"/>
        <w:widowControl w:val="0"/>
        <w:adjustRightInd w:val="0"/>
        <w:snapToGrid w:val="0"/>
        <w:spacing w:before="0" w:after="0" w:line="360" w:lineRule="auto"/>
        <w:ind w:firstLineChars="200" w:firstLine="600"/>
        <w:jc w:val="both"/>
        <w:rPr>
          <w:rFonts w:ascii="仿宋_GB2312" w:eastAsia="仿宋_GB2312" w:hAnsi="宋体"/>
          <w:color w:val="auto"/>
          <w:sz w:val="30"/>
          <w:szCs w:val="30"/>
        </w:rPr>
      </w:pPr>
      <w:r>
        <w:rPr>
          <w:rFonts w:ascii="仿宋_GB2312" w:eastAsia="仿宋_GB2312" w:hAnsi="宋体" w:hint="eastAsia"/>
          <w:color w:val="auto"/>
          <w:sz w:val="30"/>
          <w:szCs w:val="30"/>
        </w:rPr>
        <w:t>（四）审议本行关联交易相关政策、审议</w:t>
      </w:r>
      <w:r>
        <w:rPr>
          <w:rFonts w:ascii="仿宋_GB2312" w:eastAsia="仿宋_GB2312" w:hAnsi="宋体"/>
          <w:color w:val="auto"/>
          <w:sz w:val="30"/>
          <w:szCs w:val="30"/>
        </w:rPr>
        <w:t>关联方名单</w:t>
      </w:r>
      <w:r>
        <w:rPr>
          <w:rFonts w:ascii="仿宋_GB2312" w:eastAsia="仿宋_GB2312" w:hAnsi="宋体" w:hint="eastAsia"/>
          <w:color w:val="auto"/>
          <w:sz w:val="30"/>
          <w:szCs w:val="30"/>
        </w:rPr>
        <w:t>；</w:t>
      </w:r>
    </w:p>
    <w:p w:rsidR="005C402C" w:rsidRDefault="005C402C" w:rsidP="005C402C">
      <w:pPr>
        <w:pStyle w:val="ae"/>
        <w:widowControl w:val="0"/>
        <w:adjustRightInd w:val="0"/>
        <w:snapToGrid w:val="0"/>
        <w:spacing w:before="0" w:after="0" w:line="360" w:lineRule="auto"/>
        <w:ind w:firstLineChars="200" w:firstLine="600"/>
        <w:jc w:val="both"/>
        <w:rPr>
          <w:rFonts w:ascii="仿宋_GB2312" w:eastAsia="仿宋_GB2312" w:hAnsi="宋体"/>
          <w:color w:val="auto"/>
          <w:sz w:val="30"/>
          <w:szCs w:val="30"/>
        </w:rPr>
      </w:pPr>
      <w:r>
        <w:rPr>
          <w:rFonts w:ascii="仿宋_GB2312" w:eastAsia="仿宋_GB2312" w:hAnsi="宋体" w:hint="eastAsia"/>
          <w:color w:val="auto"/>
          <w:sz w:val="30"/>
          <w:szCs w:val="30"/>
        </w:rPr>
        <w:t>（五）每年就本行关联交易管理制度执行情况及关联交易情</w:t>
      </w:r>
      <w:r>
        <w:rPr>
          <w:rFonts w:ascii="仿宋_GB2312" w:eastAsia="仿宋_GB2312" w:hAnsi="宋体" w:hint="eastAsia"/>
          <w:color w:val="auto"/>
          <w:sz w:val="30"/>
          <w:szCs w:val="30"/>
        </w:rPr>
        <w:lastRenderedPageBreak/>
        <w:t>况向股东大会报告；</w:t>
      </w:r>
    </w:p>
    <w:p w:rsidR="005C402C" w:rsidRDefault="005C402C" w:rsidP="005C402C">
      <w:pPr>
        <w:pStyle w:val="ae"/>
        <w:widowControl w:val="0"/>
        <w:adjustRightInd w:val="0"/>
        <w:snapToGrid w:val="0"/>
        <w:spacing w:before="0" w:after="0" w:line="360" w:lineRule="auto"/>
        <w:ind w:firstLineChars="200" w:firstLine="600"/>
        <w:jc w:val="both"/>
        <w:rPr>
          <w:rFonts w:ascii="仿宋_GB2312" w:eastAsia="仿宋_GB2312" w:hAnsi="宋体"/>
          <w:color w:val="auto"/>
          <w:sz w:val="30"/>
          <w:szCs w:val="30"/>
        </w:rPr>
      </w:pPr>
      <w:r>
        <w:rPr>
          <w:rFonts w:ascii="仿宋_GB2312" w:eastAsia="仿宋_GB2312" w:hAnsi="宋体" w:hint="eastAsia"/>
          <w:color w:val="auto"/>
          <w:sz w:val="30"/>
          <w:szCs w:val="30"/>
        </w:rPr>
        <w:t>（六）对本行关联交易进行监督管理；</w:t>
      </w:r>
    </w:p>
    <w:p w:rsidR="005C402C" w:rsidRDefault="005C402C" w:rsidP="005C402C">
      <w:pPr>
        <w:pStyle w:val="ae"/>
        <w:widowControl w:val="0"/>
        <w:adjustRightInd w:val="0"/>
        <w:snapToGrid w:val="0"/>
        <w:spacing w:before="0" w:after="0" w:line="360" w:lineRule="auto"/>
        <w:ind w:firstLineChars="200" w:firstLine="600"/>
        <w:jc w:val="both"/>
        <w:rPr>
          <w:rFonts w:ascii="仿宋_GB2312" w:eastAsia="仿宋_GB2312" w:hAnsi="宋体"/>
          <w:color w:val="auto"/>
          <w:sz w:val="30"/>
          <w:szCs w:val="30"/>
        </w:rPr>
      </w:pPr>
      <w:r>
        <w:rPr>
          <w:rFonts w:ascii="仿宋_GB2312" w:eastAsia="仿宋_GB2312" w:hAnsi="宋体" w:hint="eastAsia"/>
          <w:color w:val="auto"/>
          <w:sz w:val="30"/>
          <w:szCs w:val="30"/>
        </w:rPr>
        <w:t>（七）本行相关</w:t>
      </w:r>
      <w:r>
        <w:rPr>
          <w:rFonts w:ascii="仿宋_GB2312" w:eastAsia="仿宋_GB2312" w:hAnsi="宋体"/>
          <w:color w:val="auto"/>
          <w:sz w:val="30"/>
          <w:szCs w:val="30"/>
        </w:rPr>
        <w:t>制度办法规定</w:t>
      </w:r>
      <w:r>
        <w:rPr>
          <w:rFonts w:ascii="仿宋_GB2312" w:eastAsia="仿宋_GB2312" w:hAnsi="宋体" w:hint="eastAsia"/>
          <w:color w:val="auto"/>
          <w:sz w:val="30"/>
          <w:szCs w:val="30"/>
        </w:rPr>
        <w:t>应</w:t>
      </w:r>
      <w:r>
        <w:rPr>
          <w:rFonts w:ascii="仿宋_GB2312" w:eastAsia="仿宋_GB2312" w:hAnsi="宋体"/>
          <w:color w:val="auto"/>
          <w:sz w:val="30"/>
          <w:szCs w:val="30"/>
        </w:rPr>
        <w:t>履行的职责。</w:t>
      </w:r>
    </w:p>
    <w:p w:rsidR="005C402C" w:rsidRDefault="005C402C" w:rsidP="005C402C">
      <w:pPr>
        <w:pStyle w:val="ae"/>
        <w:widowControl w:val="0"/>
        <w:tabs>
          <w:tab w:val="left" w:pos="2807"/>
        </w:tabs>
        <w:adjustRightInd w:val="0"/>
        <w:snapToGrid w:val="0"/>
        <w:spacing w:before="0" w:after="0" w:line="360" w:lineRule="auto"/>
        <w:ind w:firstLineChars="200" w:firstLine="602"/>
        <w:jc w:val="both"/>
        <w:rPr>
          <w:rFonts w:ascii="仿宋_GB2312" w:eastAsia="仿宋_GB2312" w:hAnsi="宋体"/>
          <w:color w:val="auto"/>
          <w:sz w:val="30"/>
          <w:szCs w:val="30"/>
        </w:rPr>
      </w:pPr>
      <w:r>
        <w:rPr>
          <w:rFonts w:ascii="仿宋_GB2312" w:eastAsia="仿宋_GB2312" w:hAnsi="宋体" w:hint="eastAsia"/>
          <w:b/>
          <w:color w:val="auto"/>
          <w:sz w:val="30"/>
          <w:szCs w:val="30"/>
        </w:rPr>
        <w:t>第五十八</w:t>
      </w:r>
      <w:r>
        <w:rPr>
          <w:rFonts w:ascii="仿宋_GB2312" w:eastAsia="仿宋_GB2312" w:hAnsi="宋体"/>
          <w:b/>
          <w:color w:val="auto"/>
          <w:sz w:val="30"/>
          <w:szCs w:val="30"/>
        </w:rPr>
        <w:t>条</w:t>
      </w:r>
      <w:r>
        <w:rPr>
          <w:rFonts w:ascii="仿宋_GB2312" w:eastAsia="仿宋_GB2312" w:hAnsi="宋体" w:hint="eastAsia"/>
          <w:color w:val="auto"/>
          <w:sz w:val="30"/>
          <w:szCs w:val="30"/>
        </w:rPr>
        <w:t xml:space="preserve">  本行董事会下设关联交易控制委员会，负责接受一般关联交易的备案和重大关联交易的审查等工作</w:t>
      </w:r>
      <w:r>
        <w:rPr>
          <w:rFonts w:ascii="仿宋_GB2312" w:eastAsia="仿宋_GB2312" w:hAnsi="宋体"/>
          <w:color w:val="auto"/>
          <w:sz w:val="30"/>
          <w:szCs w:val="30"/>
        </w:rPr>
        <w:t>，控制关联交易风险。委员会成员不得少于三人，并由独立董事担任</w:t>
      </w:r>
      <w:r>
        <w:rPr>
          <w:rFonts w:ascii="仿宋_GB2312" w:eastAsia="仿宋_GB2312" w:hAnsi="宋体" w:hint="eastAsia"/>
          <w:color w:val="auto"/>
          <w:sz w:val="30"/>
          <w:szCs w:val="30"/>
        </w:rPr>
        <w:t>主任委员，本行控股股东提名的董事不得担任关联交易控制委员会委员，</w:t>
      </w:r>
      <w:r>
        <w:rPr>
          <w:rFonts w:ascii="仿宋_GB2312" w:eastAsia="仿宋_GB2312" w:hAnsi="宋体"/>
          <w:color w:val="auto"/>
          <w:sz w:val="30"/>
          <w:szCs w:val="30"/>
        </w:rPr>
        <w:t xml:space="preserve"> </w:t>
      </w:r>
      <w:r>
        <w:rPr>
          <w:rFonts w:ascii="仿宋_GB2312" w:eastAsia="仿宋_GB2312" w:hAnsi="宋体" w:hint="eastAsia"/>
          <w:color w:val="auto"/>
          <w:sz w:val="30"/>
          <w:szCs w:val="30"/>
        </w:rPr>
        <w:t>关联交易控制委员会主要职责如下：</w:t>
      </w:r>
    </w:p>
    <w:p w:rsidR="005C402C" w:rsidRDefault="005C402C" w:rsidP="005C402C">
      <w:pPr>
        <w:pStyle w:val="ae"/>
        <w:widowControl w:val="0"/>
        <w:adjustRightInd w:val="0"/>
        <w:snapToGrid w:val="0"/>
        <w:spacing w:before="0" w:after="0" w:line="360" w:lineRule="auto"/>
        <w:ind w:firstLineChars="200" w:firstLine="600"/>
        <w:jc w:val="both"/>
        <w:rPr>
          <w:rFonts w:ascii="仿宋_GB2312" w:eastAsia="仿宋_GB2312" w:hAnsi="宋体"/>
          <w:color w:val="auto"/>
          <w:sz w:val="30"/>
          <w:szCs w:val="30"/>
        </w:rPr>
      </w:pPr>
      <w:r>
        <w:rPr>
          <w:rFonts w:ascii="仿宋_GB2312" w:eastAsia="仿宋_GB2312" w:hAnsi="宋体" w:hint="eastAsia"/>
          <w:color w:val="auto"/>
          <w:sz w:val="30"/>
          <w:szCs w:val="30"/>
        </w:rPr>
        <w:t>（一）审议关联交易基本制度，并向董事会提出建议；</w:t>
      </w:r>
    </w:p>
    <w:p w:rsidR="005C402C" w:rsidRDefault="005C402C" w:rsidP="005C402C">
      <w:pPr>
        <w:pStyle w:val="ae"/>
        <w:widowControl w:val="0"/>
        <w:adjustRightInd w:val="0"/>
        <w:snapToGrid w:val="0"/>
        <w:spacing w:before="0" w:after="0" w:line="360" w:lineRule="auto"/>
        <w:ind w:firstLineChars="200" w:firstLine="600"/>
        <w:rPr>
          <w:rFonts w:ascii="仿宋_GB2312" w:eastAsia="仿宋_GB2312" w:hAnsi="宋体"/>
          <w:color w:val="auto"/>
          <w:sz w:val="30"/>
          <w:szCs w:val="30"/>
        </w:rPr>
      </w:pPr>
      <w:r>
        <w:rPr>
          <w:rFonts w:ascii="仿宋_GB2312" w:eastAsia="仿宋_GB2312" w:hAnsi="宋体" w:hint="eastAsia"/>
          <w:color w:val="auto"/>
          <w:sz w:val="30"/>
          <w:szCs w:val="30"/>
        </w:rPr>
        <w:t>（二）审议本行的关联方</w:t>
      </w:r>
      <w:r>
        <w:rPr>
          <w:rFonts w:ascii="仿宋_GB2312" w:eastAsia="仿宋_GB2312" w:hAnsi="宋体"/>
          <w:color w:val="auto"/>
          <w:sz w:val="30"/>
          <w:szCs w:val="30"/>
        </w:rPr>
        <w:t>，向董事会和监事会报告</w:t>
      </w:r>
      <w:r>
        <w:rPr>
          <w:rFonts w:ascii="仿宋_GB2312" w:eastAsia="仿宋_GB2312" w:hint="eastAsia"/>
          <w:color w:val="auto"/>
          <w:sz w:val="30"/>
          <w:szCs w:val="30"/>
        </w:rPr>
        <w:t>，并及时向本行相关部门及工作人员公布其所确认的关联方</w:t>
      </w:r>
      <w:r>
        <w:rPr>
          <w:rFonts w:ascii="仿宋_GB2312" w:eastAsia="仿宋_GB2312" w:hAnsi="宋体" w:hint="eastAsia"/>
          <w:color w:val="auto"/>
          <w:sz w:val="30"/>
          <w:szCs w:val="30"/>
        </w:rPr>
        <w:t>；</w:t>
      </w:r>
    </w:p>
    <w:p w:rsidR="005C402C" w:rsidRDefault="005C402C" w:rsidP="005C402C">
      <w:pPr>
        <w:pStyle w:val="ae"/>
        <w:widowControl w:val="0"/>
        <w:adjustRightInd w:val="0"/>
        <w:snapToGrid w:val="0"/>
        <w:spacing w:before="0" w:after="0" w:line="360" w:lineRule="auto"/>
        <w:ind w:firstLineChars="200" w:firstLine="600"/>
        <w:rPr>
          <w:rFonts w:ascii="仿宋_GB2312" w:eastAsia="仿宋_GB2312" w:hAnsi="宋体"/>
          <w:color w:val="auto"/>
          <w:sz w:val="30"/>
          <w:szCs w:val="30"/>
        </w:rPr>
      </w:pPr>
      <w:r>
        <w:rPr>
          <w:rFonts w:ascii="仿宋_GB2312" w:eastAsia="仿宋_GB2312" w:hAnsi="宋体" w:hint="eastAsia"/>
          <w:color w:val="auto"/>
          <w:sz w:val="30"/>
          <w:szCs w:val="30"/>
        </w:rPr>
        <w:t>（三）</w:t>
      </w:r>
      <w:r>
        <w:rPr>
          <w:rFonts w:ascii="仿宋_GB2312" w:eastAsia="仿宋_GB2312" w:hint="eastAsia"/>
          <w:color w:val="auto"/>
          <w:sz w:val="30"/>
          <w:szCs w:val="30"/>
        </w:rPr>
        <w:t>接受一般关联交易的备案；</w:t>
      </w:r>
    </w:p>
    <w:p w:rsidR="005C402C" w:rsidRDefault="005C402C" w:rsidP="005C402C">
      <w:pPr>
        <w:pStyle w:val="ae"/>
        <w:widowControl w:val="0"/>
        <w:adjustRightInd w:val="0"/>
        <w:snapToGrid w:val="0"/>
        <w:spacing w:before="0" w:after="0" w:line="360" w:lineRule="auto"/>
        <w:ind w:firstLineChars="200" w:firstLine="600"/>
        <w:rPr>
          <w:rFonts w:ascii="仿宋_GB2312" w:eastAsia="仿宋_GB2312" w:hAnsi="宋体"/>
          <w:color w:val="auto"/>
          <w:sz w:val="30"/>
          <w:szCs w:val="30"/>
        </w:rPr>
      </w:pPr>
      <w:r>
        <w:rPr>
          <w:rFonts w:ascii="仿宋_GB2312" w:eastAsia="仿宋_GB2312" w:hAnsi="宋体" w:hint="eastAsia"/>
          <w:color w:val="auto"/>
          <w:sz w:val="30"/>
          <w:szCs w:val="30"/>
        </w:rPr>
        <w:t>（四）对本行重大关联交易初审后报董事会批准，并在批准之日起10个工作日内报告监事会；</w:t>
      </w:r>
    </w:p>
    <w:p w:rsidR="005C402C" w:rsidRDefault="005C402C" w:rsidP="005C402C">
      <w:pPr>
        <w:pStyle w:val="ae"/>
        <w:widowControl w:val="0"/>
        <w:adjustRightInd w:val="0"/>
        <w:snapToGrid w:val="0"/>
        <w:spacing w:before="0" w:after="0" w:line="360" w:lineRule="auto"/>
        <w:ind w:firstLineChars="200" w:firstLine="600"/>
        <w:rPr>
          <w:rFonts w:ascii="仿宋_GB2312" w:eastAsia="仿宋_GB2312" w:hAnsi="宋体"/>
          <w:color w:val="auto"/>
          <w:sz w:val="30"/>
          <w:szCs w:val="30"/>
        </w:rPr>
      </w:pPr>
      <w:r>
        <w:rPr>
          <w:rFonts w:ascii="仿宋_GB2312" w:eastAsia="仿宋_GB2312" w:hAnsi="宋体" w:hint="eastAsia"/>
          <w:color w:val="auto"/>
          <w:sz w:val="30"/>
          <w:szCs w:val="30"/>
        </w:rPr>
        <w:t>（五）本行股票上市地证券监督管理机构及相关法律法规规定的相关职权；</w:t>
      </w:r>
    </w:p>
    <w:p w:rsidR="005C402C" w:rsidRDefault="005C402C" w:rsidP="005C402C">
      <w:pPr>
        <w:pStyle w:val="ae"/>
        <w:widowControl w:val="0"/>
        <w:adjustRightInd w:val="0"/>
        <w:snapToGrid w:val="0"/>
        <w:spacing w:before="0" w:after="0" w:line="360" w:lineRule="auto"/>
        <w:ind w:firstLineChars="200" w:firstLine="600"/>
        <w:rPr>
          <w:rFonts w:ascii="仿宋_GB2312" w:eastAsia="仿宋_GB2312" w:hAnsi="宋体"/>
          <w:color w:val="auto"/>
          <w:sz w:val="30"/>
          <w:szCs w:val="30"/>
        </w:rPr>
      </w:pPr>
      <w:r>
        <w:rPr>
          <w:rFonts w:ascii="仿宋_GB2312" w:eastAsia="仿宋_GB2312" w:hAnsi="宋体" w:hint="eastAsia"/>
          <w:color w:val="auto"/>
          <w:sz w:val="30"/>
          <w:szCs w:val="30"/>
        </w:rPr>
        <w:t>（六）董事会授权的其他事宜。</w:t>
      </w:r>
    </w:p>
    <w:p w:rsidR="005C402C" w:rsidRDefault="005C402C" w:rsidP="005C402C">
      <w:pPr>
        <w:pStyle w:val="ae"/>
        <w:widowControl w:val="0"/>
        <w:tabs>
          <w:tab w:val="left" w:pos="1701"/>
          <w:tab w:val="left" w:pos="2807"/>
        </w:tabs>
        <w:adjustRightInd w:val="0"/>
        <w:snapToGrid w:val="0"/>
        <w:spacing w:before="0" w:after="0" w:line="360" w:lineRule="auto"/>
        <w:ind w:firstLineChars="200" w:firstLine="602"/>
        <w:jc w:val="both"/>
        <w:rPr>
          <w:rFonts w:ascii="仿宋_GB2312" w:eastAsia="仿宋_GB2312" w:hAnsi="宋体"/>
          <w:color w:val="auto"/>
          <w:sz w:val="30"/>
          <w:szCs w:val="30"/>
        </w:rPr>
      </w:pPr>
      <w:r>
        <w:rPr>
          <w:rFonts w:ascii="仿宋_GB2312" w:eastAsia="仿宋_GB2312" w:hAnsi="华文细黑" w:hint="eastAsia"/>
          <w:b/>
          <w:color w:val="auto"/>
          <w:sz w:val="30"/>
          <w:szCs w:val="30"/>
        </w:rPr>
        <w:t>第五十九</w:t>
      </w:r>
      <w:r>
        <w:rPr>
          <w:rFonts w:ascii="仿宋_GB2312" w:eastAsia="仿宋_GB2312" w:hAnsi="华文细黑"/>
          <w:b/>
          <w:color w:val="auto"/>
          <w:sz w:val="30"/>
          <w:szCs w:val="30"/>
        </w:rPr>
        <w:t>条</w:t>
      </w:r>
      <w:r>
        <w:rPr>
          <w:rFonts w:ascii="仿宋_GB2312" w:eastAsia="仿宋_GB2312" w:hAnsi="华文细黑" w:hint="eastAsia"/>
          <w:b/>
          <w:color w:val="auto"/>
          <w:sz w:val="30"/>
          <w:szCs w:val="30"/>
        </w:rPr>
        <w:t xml:space="preserve">  </w:t>
      </w:r>
      <w:r>
        <w:rPr>
          <w:rFonts w:ascii="仿宋_GB2312" w:eastAsia="仿宋_GB2312" w:hAnsi="宋体"/>
          <w:color w:val="auto"/>
          <w:sz w:val="30"/>
          <w:szCs w:val="30"/>
        </w:rPr>
        <w:t>董事会办公室作为关联交易</w:t>
      </w:r>
      <w:r>
        <w:rPr>
          <w:rFonts w:ascii="仿宋_GB2312" w:eastAsia="仿宋_GB2312" w:hAnsi="宋体" w:hint="eastAsia"/>
          <w:color w:val="auto"/>
          <w:sz w:val="30"/>
          <w:szCs w:val="30"/>
        </w:rPr>
        <w:t>控制</w:t>
      </w:r>
      <w:r>
        <w:rPr>
          <w:rFonts w:ascii="仿宋_GB2312" w:eastAsia="仿宋_GB2312" w:hAnsi="宋体"/>
          <w:color w:val="auto"/>
          <w:sz w:val="30"/>
          <w:szCs w:val="30"/>
        </w:rPr>
        <w:t>委员会日常办事机构</w:t>
      </w:r>
      <w:r>
        <w:rPr>
          <w:rFonts w:ascii="仿宋_GB2312" w:eastAsia="仿宋_GB2312" w:hAnsi="宋体" w:hint="eastAsia"/>
          <w:color w:val="auto"/>
          <w:sz w:val="30"/>
          <w:szCs w:val="30"/>
        </w:rPr>
        <w:t>，其</w:t>
      </w:r>
      <w:r>
        <w:rPr>
          <w:rFonts w:ascii="仿宋_GB2312" w:eastAsia="仿宋_GB2312" w:hAnsi="宋体"/>
          <w:color w:val="auto"/>
          <w:sz w:val="30"/>
          <w:szCs w:val="30"/>
        </w:rPr>
        <w:t>主要</w:t>
      </w:r>
      <w:r>
        <w:rPr>
          <w:rFonts w:ascii="仿宋_GB2312" w:eastAsia="仿宋_GB2312" w:hAnsi="宋体" w:hint="eastAsia"/>
          <w:color w:val="auto"/>
          <w:sz w:val="30"/>
          <w:szCs w:val="30"/>
        </w:rPr>
        <w:t>职责如下</w:t>
      </w:r>
      <w:r>
        <w:rPr>
          <w:rFonts w:ascii="仿宋_GB2312" w:eastAsia="仿宋_GB2312" w:hAnsi="宋体"/>
          <w:color w:val="auto"/>
          <w:sz w:val="30"/>
          <w:szCs w:val="30"/>
        </w:rPr>
        <w:t>：</w:t>
      </w:r>
    </w:p>
    <w:p w:rsidR="005C402C" w:rsidRDefault="005C402C" w:rsidP="005C402C">
      <w:pPr>
        <w:pStyle w:val="ae"/>
        <w:widowControl w:val="0"/>
        <w:adjustRightInd w:val="0"/>
        <w:snapToGrid w:val="0"/>
        <w:spacing w:before="0" w:after="0" w:line="360" w:lineRule="auto"/>
        <w:ind w:firstLineChars="200" w:firstLine="600"/>
        <w:rPr>
          <w:rFonts w:ascii="仿宋_GB2312" w:eastAsia="仿宋_GB2312" w:hAnsi="宋体"/>
          <w:color w:val="auto"/>
          <w:sz w:val="30"/>
          <w:szCs w:val="30"/>
        </w:rPr>
      </w:pPr>
      <w:r>
        <w:rPr>
          <w:rFonts w:ascii="仿宋_GB2312" w:eastAsia="仿宋_GB2312" w:hAnsi="宋体" w:hint="eastAsia"/>
          <w:color w:val="auto"/>
          <w:sz w:val="30"/>
          <w:szCs w:val="30"/>
        </w:rPr>
        <w:t>（一）牵头制定本行关联交易管理制度；</w:t>
      </w:r>
    </w:p>
    <w:p w:rsidR="005C402C" w:rsidRDefault="005C402C" w:rsidP="005C402C">
      <w:pPr>
        <w:pStyle w:val="ae"/>
        <w:widowControl w:val="0"/>
        <w:adjustRightInd w:val="0"/>
        <w:snapToGrid w:val="0"/>
        <w:spacing w:before="0" w:after="0" w:line="360" w:lineRule="auto"/>
        <w:ind w:firstLineChars="200" w:firstLine="600"/>
        <w:jc w:val="both"/>
        <w:rPr>
          <w:rFonts w:ascii="仿宋_GB2312" w:eastAsia="仿宋_GB2312" w:hAnsi="宋体"/>
          <w:color w:val="auto"/>
          <w:sz w:val="30"/>
          <w:szCs w:val="30"/>
        </w:rPr>
      </w:pPr>
      <w:r>
        <w:rPr>
          <w:rFonts w:ascii="仿宋_GB2312" w:eastAsia="仿宋_GB2312" w:hAnsi="宋体" w:hint="eastAsia"/>
          <w:color w:val="auto"/>
          <w:sz w:val="30"/>
          <w:szCs w:val="30"/>
        </w:rPr>
        <w:t>（二）按照本办法第三章规定，对职责范围内关联方信息进行收集和更新；</w:t>
      </w:r>
    </w:p>
    <w:p w:rsidR="005C402C" w:rsidRDefault="005C402C" w:rsidP="005C402C">
      <w:pPr>
        <w:pStyle w:val="ae"/>
        <w:widowControl w:val="0"/>
        <w:adjustRightInd w:val="0"/>
        <w:snapToGrid w:val="0"/>
        <w:spacing w:before="0" w:after="0" w:line="360" w:lineRule="auto"/>
        <w:ind w:firstLineChars="200" w:firstLine="600"/>
        <w:jc w:val="both"/>
        <w:rPr>
          <w:rFonts w:ascii="仿宋_GB2312" w:eastAsia="仿宋_GB2312" w:hAnsi="宋体"/>
          <w:color w:val="auto"/>
          <w:sz w:val="30"/>
          <w:szCs w:val="30"/>
        </w:rPr>
      </w:pPr>
      <w:r>
        <w:rPr>
          <w:rFonts w:ascii="仿宋_GB2312" w:eastAsia="仿宋_GB2312" w:hAnsi="宋体" w:hint="eastAsia"/>
          <w:color w:val="auto"/>
          <w:sz w:val="30"/>
          <w:szCs w:val="30"/>
        </w:rPr>
        <w:t>（三）牵头负责本行关联交易日常监控与管理，</w:t>
      </w:r>
      <w:r>
        <w:rPr>
          <w:rFonts w:ascii="仿宋_GB2312" w:eastAsia="仿宋_GB2312" w:hAnsi="宋体" w:hint="eastAsia"/>
          <w:sz w:val="30"/>
          <w:szCs w:val="30"/>
        </w:rPr>
        <w:t>收集、汇总关联方信息，报请关联交易控制委员会及董事会审议，建立维护</w:t>
      </w:r>
      <w:r>
        <w:rPr>
          <w:rFonts w:ascii="仿宋_GB2312" w:eastAsia="仿宋_GB2312" w:hAnsi="宋体" w:hint="eastAsia"/>
          <w:sz w:val="30"/>
          <w:szCs w:val="30"/>
        </w:rPr>
        <w:lastRenderedPageBreak/>
        <w:t>关联方数据库；</w:t>
      </w:r>
    </w:p>
    <w:p w:rsidR="005C402C" w:rsidRDefault="005C402C" w:rsidP="005C402C">
      <w:pPr>
        <w:pStyle w:val="ae"/>
        <w:widowControl w:val="0"/>
        <w:adjustRightInd w:val="0"/>
        <w:snapToGrid w:val="0"/>
        <w:spacing w:before="0" w:after="0" w:line="360" w:lineRule="auto"/>
        <w:ind w:firstLineChars="200" w:firstLine="600"/>
        <w:jc w:val="both"/>
        <w:rPr>
          <w:rFonts w:ascii="仿宋_GB2312" w:eastAsia="仿宋_GB2312" w:hAnsi="宋体"/>
          <w:color w:val="auto"/>
          <w:sz w:val="30"/>
          <w:szCs w:val="30"/>
        </w:rPr>
      </w:pPr>
      <w:r>
        <w:rPr>
          <w:rFonts w:ascii="仿宋_GB2312" w:eastAsia="仿宋_GB2312" w:hAnsi="宋体" w:hint="eastAsia"/>
          <w:color w:val="auto"/>
          <w:sz w:val="30"/>
          <w:szCs w:val="30"/>
        </w:rPr>
        <w:t>（四）负责将审议确认的关联方名单向相关部门及分支机构进行公布，并向监事会报备；</w:t>
      </w:r>
    </w:p>
    <w:p w:rsidR="005C402C" w:rsidRDefault="005C402C" w:rsidP="005C402C">
      <w:pPr>
        <w:pStyle w:val="ae"/>
        <w:widowControl w:val="0"/>
        <w:adjustRightInd w:val="0"/>
        <w:snapToGrid w:val="0"/>
        <w:spacing w:before="0" w:after="0" w:line="360" w:lineRule="auto"/>
        <w:ind w:firstLineChars="200" w:firstLine="600"/>
        <w:jc w:val="both"/>
        <w:rPr>
          <w:rFonts w:ascii="仿宋_GB2312" w:eastAsia="仿宋_GB2312" w:hAnsi="宋体"/>
          <w:color w:val="auto"/>
          <w:sz w:val="30"/>
          <w:szCs w:val="30"/>
        </w:rPr>
      </w:pPr>
      <w:r>
        <w:rPr>
          <w:rFonts w:ascii="仿宋_GB2312" w:eastAsia="仿宋_GB2312" w:hAnsi="宋体" w:hint="eastAsia"/>
          <w:color w:val="auto"/>
          <w:sz w:val="30"/>
          <w:szCs w:val="30"/>
        </w:rPr>
        <w:t>（五）负责对本行关联方限额实行统筹管理，对非授信类关联交易进行审核，并报有权审批人进行审批；</w:t>
      </w:r>
    </w:p>
    <w:p w:rsidR="005C402C" w:rsidRDefault="005C402C" w:rsidP="005C402C">
      <w:pPr>
        <w:pStyle w:val="ae"/>
        <w:widowControl w:val="0"/>
        <w:adjustRightInd w:val="0"/>
        <w:snapToGrid w:val="0"/>
        <w:spacing w:before="0" w:after="0" w:line="360" w:lineRule="auto"/>
        <w:ind w:firstLineChars="200" w:firstLine="600"/>
        <w:jc w:val="both"/>
        <w:rPr>
          <w:rFonts w:ascii="仿宋_GB2312" w:eastAsia="仿宋_GB2312" w:hAnsi="宋体"/>
          <w:color w:val="auto"/>
          <w:sz w:val="30"/>
          <w:szCs w:val="30"/>
        </w:rPr>
      </w:pPr>
      <w:r>
        <w:rPr>
          <w:rFonts w:ascii="仿宋_GB2312" w:eastAsia="仿宋_GB2312" w:hAnsi="宋体" w:hint="eastAsia"/>
          <w:color w:val="auto"/>
          <w:sz w:val="30"/>
          <w:szCs w:val="30"/>
        </w:rPr>
        <w:t>（六）安排独立董事对重大关联交易的公允性及内部审批程序履行情况发表书面意见；</w:t>
      </w:r>
    </w:p>
    <w:p w:rsidR="005C402C" w:rsidRDefault="005C402C" w:rsidP="005C402C">
      <w:pPr>
        <w:pStyle w:val="ae"/>
        <w:widowControl w:val="0"/>
        <w:adjustRightInd w:val="0"/>
        <w:snapToGrid w:val="0"/>
        <w:spacing w:before="0" w:after="0" w:line="360" w:lineRule="auto"/>
        <w:ind w:firstLineChars="200" w:firstLine="600"/>
        <w:jc w:val="both"/>
        <w:rPr>
          <w:rFonts w:ascii="仿宋_GB2312" w:eastAsia="仿宋_GB2312" w:hAnsi="宋体"/>
          <w:color w:val="auto"/>
          <w:sz w:val="30"/>
          <w:szCs w:val="30"/>
        </w:rPr>
      </w:pPr>
      <w:r>
        <w:rPr>
          <w:rFonts w:ascii="仿宋_GB2312" w:eastAsia="仿宋_GB2312" w:hAnsi="宋体" w:hint="eastAsia"/>
          <w:color w:val="auto"/>
          <w:sz w:val="30"/>
          <w:szCs w:val="30"/>
        </w:rPr>
        <w:t>（七）根据本办法有关董事会、股东大会审议的规定，安排重大关联交易等事项的董事会或股东大会审议；</w:t>
      </w:r>
    </w:p>
    <w:p w:rsidR="005C402C" w:rsidRDefault="005C402C" w:rsidP="005C402C">
      <w:pPr>
        <w:pStyle w:val="ae"/>
        <w:widowControl w:val="0"/>
        <w:adjustRightInd w:val="0"/>
        <w:snapToGrid w:val="0"/>
        <w:spacing w:before="0" w:after="0" w:line="360" w:lineRule="auto"/>
        <w:ind w:firstLineChars="200" w:firstLine="600"/>
        <w:jc w:val="both"/>
        <w:rPr>
          <w:rFonts w:ascii="仿宋_GB2312" w:eastAsia="仿宋_GB2312" w:hAnsi="宋体"/>
          <w:color w:val="auto"/>
          <w:sz w:val="30"/>
          <w:szCs w:val="30"/>
        </w:rPr>
      </w:pPr>
      <w:r>
        <w:rPr>
          <w:rFonts w:ascii="仿宋_GB2312" w:eastAsia="仿宋_GB2312" w:hAnsi="宋体" w:hint="eastAsia"/>
          <w:color w:val="auto"/>
          <w:sz w:val="30"/>
          <w:szCs w:val="30"/>
        </w:rPr>
        <w:t>（八）负责本行关联方与关联交易的申请豁免事宜；</w:t>
      </w:r>
    </w:p>
    <w:p w:rsidR="005C402C" w:rsidRDefault="005C402C" w:rsidP="005C402C">
      <w:pPr>
        <w:pStyle w:val="ae"/>
        <w:widowControl w:val="0"/>
        <w:adjustRightInd w:val="0"/>
        <w:snapToGrid w:val="0"/>
        <w:spacing w:before="0" w:after="0" w:line="360" w:lineRule="auto"/>
        <w:ind w:firstLineChars="200" w:firstLine="600"/>
        <w:jc w:val="both"/>
        <w:rPr>
          <w:rFonts w:ascii="仿宋_GB2312" w:eastAsia="仿宋_GB2312" w:hAnsi="宋体"/>
          <w:color w:val="auto"/>
          <w:sz w:val="30"/>
          <w:szCs w:val="30"/>
        </w:rPr>
      </w:pPr>
      <w:r>
        <w:rPr>
          <w:rFonts w:ascii="仿宋_GB2312" w:eastAsia="仿宋_GB2312" w:hAnsi="宋体" w:hint="eastAsia"/>
          <w:color w:val="auto"/>
          <w:sz w:val="30"/>
          <w:szCs w:val="30"/>
        </w:rPr>
        <w:t>（九）牵头负责关联交易的对外披露或公告事宜，把握披露或公告内容的尺度和标准；对应当由具有执行证券、期货相关业务资格的证券服务机构对交易标的出具审计或者评估报告的</w:t>
      </w:r>
      <w:r>
        <w:rPr>
          <w:rFonts w:ascii="仿宋_GB2312" w:eastAsia="仿宋_GB2312" w:hAnsi="宋体"/>
          <w:color w:val="auto"/>
          <w:sz w:val="30"/>
          <w:szCs w:val="30"/>
        </w:rPr>
        <w:t>，</w:t>
      </w:r>
      <w:r>
        <w:rPr>
          <w:rFonts w:ascii="仿宋_GB2312" w:eastAsia="仿宋_GB2312" w:hAnsi="宋体" w:hint="eastAsia"/>
          <w:color w:val="auto"/>
          <w:sz w:val="30"/>
          <w:szCs w:val="30"/>
        </w:rPr>
        <w:t>协调</w:t>
      </w:r>
      <w:r>
        <w:rPr>
          <w:rFonts w:ascii="仿宋_GB2312" w:eastAsia="仿宋_GB2312" w:hAnsi="宋体"/>
          <w:color w:val="auto"/>
          <w:sz w:val="30"/>
          <w:szCs w:val="30"/>
        </w:rPr>
        <w:t>交易发起部门和</w:t>
      </w:r>
      <w:r>
        <w:rPr>
          <w:rFonts w:ascii="仿宋_GB2312" w:eastAsia="仿宋_GB2312" w:hAnsi="宋体" w:hint="eastAsia"/>
          <w:color w:val="auto"/>
          <w:sz w:val="30"/>
          <w:szCs w:val="30"/>
        </w:rPr>
        <w:t>相关</w:t>
      </w:r>
      <w:r>
        <w:rPr>
          <w:rFonts w:ascii="仿宋_GB2312" w:eastAsia="仿宋_GB2312" w:hAnsi="宋体"/>
          <w:color w:val="auto"/>
          <w:sz w:val="30"/>
          <w:szCs w:val="30"/>
        </w:rPr>
        <w:t>证券服务机构</w:t>
      </w:r>
      <w:r>
        <w:rPr>
          <w:rFonts w:ascii="仿宋_GB2312" w:eastAsia="仿宋_GB2312" w:hAnsi="宋体" w:hint="eastAsia"/>
          <w:color w:val="auto"/>
          <w:sz w:val="30"/>
          <w:szCs w:val="30"/>
        </w:rPr>
        <w:t>获得</w:t>
      </w:r>
      <w:r>
        <w:rPr>
          <w:rFonts w:ascii="仿宋_GB2312" w:eastAsia="仿宋_GB2312" w:hAnsi="宋体"/>
          <w:color w:val="auto"/>
          <w:sz w:val="30"/>
          <w:szCs w:val="30"/>
        </w:rPr>
        <w:t>审计或者评估报告</w:t>
      </w:r>
      <w:r>
        <w:rPr>
          <w:rFonts w:ascii="仿宋_GB2312" w:eastAsia="仿宋_GB2312" w:hAnsi="宋体" w:hint="eastAsia"/>
          <w:color w:val="auto"/>
          <w:sz w:val="30"/>
          <w:szCs w:val="30"/>
        </w:rPr>
        <w:t>；</w:t>
      </w:r>
    </w:p>
    <w:p w:rsidR="005C402C" w:rsidRDefault="005C402C" w:rsidP="005C402C">
      <w:pPr>
        <w:pStyle w:val="ae"/>
        <w:widowControl w:val="0"/>
        <w:adjustRightInd w:val="0"/>
        <w:snapToGrid w:val="0"/>
        <w:spacing w:before="0" w:after="0" w:line="360" w:lineRule="auto"/>
        <w:ind w:firstLineChars="200" w:firstLine="600"/>
        <w:rPr>
          <w:rFonts w:ascii="仿宋_GB2312" w:eastAsia="仿宋_GB2312" w:hAnsi="宋体"/>
          <w:color w:val="auto"/>
          <w:sz w:val="30"/>
          <w:szCs w:val="30"/>
        </w:rPr>
      </w:pPr>
      <w:r>
        <w:rPr>
          <w:rFonts w:ascii="仿宋_GB2312" w:eastAsia="仿宋_GB2312" w:hAnsi="宋体" w:hint="eastAsia"/>
          <w:color w:val="auto"/>
          <w:sz w:val="30"/>
          <w:szCs w:val="30"/>
        </w:rPr>
        <w:t>（十）及时向相关监管机构报告本行关联交易，就关联交易相关事宜咨询香港联交所，并将本行进行中的《香港联合交易所有限公司证券上市规则》下非完全豁免关联交易情况报香港联交所。</w:t>
      </w:r>
    </w:p>
    <w:p w:rsidR="005C402C" w:rsidRDefault="005C402C" w:rsidP="005C402C">
      <w:pPr>
        <w:pStyle w:val="ae"/>
        <w:widowControl w:val="0"/>
        <w:adjustRightInd w:val="0"/>
        <w:snapToGrid w:val="0"/>
        <w:spacing w:before="0" w:after="0" w:line="360" w:lineRule="auto"/>
        <w:ind w:firstLineChars="200" w:firstLine="600"/>
        <w:jc w:val="both"/>
        <w:rPr>
          <w:rFonts w:ascii="仿宋_GB2312" w:eastAsia="仿宋_GB2312" w:hAnsi="宋体"/>
          <w:color w:val="auto"/>
          <w:sz w:val="30"/>
          <w:szCs w:val="30"/>
        </w:rPr>
      </w:pPr>
      <w:r>
        <w:rPr>
          <w:rFonts w:ascii="仿宋_GB2312" w:eastAsia="仿宋_GB2312" w:hAnsi="宋体" w:hint="eastAsia"/>
          <w:sz w:val="30"/>
          <w:szCs w:val="30"/>
        </w:rPr>
        <w:t>（十一）牵头完善关联交易管理系统功能需求。</w:t>
      </w:r>
    </w:p>
    <w:p w:rsidR="005C402C" w:rsidRDefault="005C402C" w:rsidP="005C402C">
      <w:pPr>
        <w:pStyle w:val="ae"/>
        <w:widowControl w:val="0"/>
        <w:adjustRightInd w:val="0"/>
        <w:snapToGrid w:val="0"/>
        <w:spacing w:before="0" w:after="0" w:line="360" w:lineRule="auto"/>
        <w:ind w:firstLineChars="200" w:firstLine="602"/>
        <w:rPr>
          <w:rFonts w:ascii="仿宋_GB2312" w:eastAsia="仿宋_GB2312" w:hAnsi="宋体"/>
          <w:color w:val="auto"/>
          <w:sz w:val="30"/>
          <w:szCs w:val="30"/>
        </w:rPr>
      </w:pPr>
      <w:r>
        <w:rPr>
          <w:rFonts w:ascii="仿宋_GB2312" w:eastAsia="仿宋_GB2312" w:hAnsi="宋体" w:hint="eastAsia"/>
          <w:b/>
          <w:color w:val="auto"/>
          <w:sz w:val="30"/>
          <w:szCs w:val="30"/>
        </w:rPr>
        <w:t xml:space="preserve">第六十条  </w:t>
      </w:r>
      <w:r>
        <w:rPr>
          <w:rFonts w:ascii="仿宋_GB2312" w:eastAsia="仿宋_GB2312" w:hAnsi="宋体" w:hint="eastAsia"/>
          <w:color w:val="auto"/>
          <w:sz w:val="30"/>
          <w:szCs w:val="30"/>
        </w:rPr>
        <w:t>高级管理层负责对全行</w:t>
      </w:r>
      <w:r>
        <w:rPr>
          <w:rFonts w:ascii="仿宋_GB2312" w:eastAsia="仿宋_GB2312" w:hAnsi="宋体"/>
          <w:color w:val="auto"/>
          <w:sz w:val="30"/>
          <w:szCs w:val="30"/>
        </w:rPr>
        <w:t>关联交易</w:t>
      </w:r>
      <w:r>
        <w:rPr>
          <w:rFonts w:ascii="仿宋_GB2312" w:eastAsia="仿宋_GB2312" w:hAnsi="宋体" w:hint="eastAsia"/>
          <w:color w:val="auto"/>
          <w:sz w:val="30"/>
          <w:szCs w:val="30"/>
        </w:rPr>
        <w:t>进行</w:t>
      </w:r>
      <w:r>
        <w:rPr>
          <w:rFonts w:ascii="仿宋_GB2312" w:eastAsia="仿宋_GB2312" w:hAnsi="宋体"/>
          <w:color w:val="auto"/>
          <w:sz w:val="30"/>
          <w:szCs w:val="30"/>
        </w:rPr>
        <w:t>监督管理</w:t>
      </w:r>
      <w:r>
        <w:rPr>
          <w:rFonts w:ascii="仿宋_GB2312" w:eastAsia="仿宋_GB2312" w:hAnsi="宋体" w:hint="eastAsia"/>
          <w:color w:val="auto"/>
          <w:sz w:val="30"/>
          <w:szCs w:val="30"/>
        </w:rPr>
        <w:t>。</w:t>
      </w:r>
    </w:p>
    <w:p w:rsidR="005C402C" w:rsidRDefault="005C402C" w:rsidP="005C402C">
      <w:pPr>
        <w:pStyle w:val="ae"/>
        <w:widowControl w:val="0"/>
        <w:adjustRightInd w:val="0"/>
        <w:snapToGrid w:val="0"/>
        <w:spacing w:before="0" w:after="0" w:line="360" w:lineRule="auto"/>
        <w:ind w:firstLineChars="200" w:firstLine="602"/>
        <w:jc w:val="both"/>
        <w:rPr>
          <w:rFonts w:ascii="仿宋_GB2312" w:eastAsia="仿宋_GB2312" w:hAnsi="宋体"/>
          <w:color w:val="auto"/>
          <w:sz w:val="30"/>
          <w:szCs w:val="30"/>
        </w:rPr>
      </w:pPr>
      <w:r>
        <w:rPr>
          <w:rFonts w:ascii="仿宋_GB2312" w:eastAsia="仿宋_GB2312" w:hAnsi="宋体" w:hint="eastAsia"/>
          <w:b/>
          <w:color w:val="auto"/>
          <w:sz w:val="30"/>
          <w:szCs w:val="30"/>
        </w:rPr>
        <w:t>第六十一条</w:t>
      </w:r>
      <w:r>
        <w:rPr>
          <w:rFonts w:ascii="仿宋_GB2312" w:eastAsia="仿宋_GB2312" w:hAnsi="宋体" w:hint="eastAsia"/>
          <w:color w:val="auto"/>
          <w:sz w:val="30"/>
          <w:szCs w:val="30"/>
        </w:rPr>
        <w:t xml:space="preserve">  监事会办公室按照</w:t>
      </w:r>
      <w:r>
        <w:rPr>
          <w:rFonts w:ascii="仿宋_GB2312" w:eastAsia="仿宋_GB2312" w:hAnsi="宋体"/>
          <w:color w:val="auto"/>
          <w:sz w:val="30"/>
          <w:szCs w:val="30"/>
        </w:rPr>
        <w:t>本办法第三章</w:t>
      </w:r>
      <w:r>
        <w:rPr>
          <w:rFonts w:ascii="仿宋_GB2312" w:eastAsia="仿宋_GB2312" w:hAnsi="宋体" w:hint="eastAsia"/>
          <w:color w:val="auto"/>
          <w:sz w:val="30"/>
          <w:szCs w:val="30"/>
        </w:rPr>
        <w:t>规定</w:t>
      </w:r>
      <w:r>
        <w:rPr>
          <w:rFonts w:ascii="仿宋_GB2312" w:eastAsia="仿宋_GB2312" w:hAnsi="宋体"/>
          <w:color w:val="auto"/>
          <w:sz w:val="30"/>
          <w:szCs w:val="30"/>
        </w:rPr>
        <w:t>，</w:t>
      </w:r>
      <w:r>
        <w:rPr>
          <w:rFonts w:ascii="仿宋_GB2312" w:eastAsia="仿宋_GB2312" w:hAnsi="宋体" w:hint="eastAsia"/>
          <w:color w:val="auto"/>
          <w:sz w:val="30"/>
          <w:szCs w:val="30"/>
        </w:rPr>
        <w:t>负责</w:t>
      </w:r>
      <w:r>
        <w:rPr>
          <w:rFonts w:ascii="仿宋_GB2312" w:eastAsia="仿宋_GB2312" w:hAnsi="宋体"/>
          <w:color w:val="auto"/>
          <w:sz w:val="30"/>
          <w:szCs w:val="30"/>
        </w:rPr>
        <w:t>职责范围内关联方信息的</w:t>
      </w:r>
      <w:r>
        <w:rPr>
          <w:rFonts w:ascii="仿宋_GB2312" w:eastAsia="仿宋_GB2312" w:hAnsi="宋体" w:hint="eastAsia"/>
          <w:color w:val="auto"/>
          <w:sz w:val="30"/>
          <w:szCs w:val="30"/>
        </w:rPr>
        <w:t>收集</w:t>
      </w:r>
      <w:r>
        <w:rPr>
          <w:rFonts w:ascii="仿宋_GB2312" w:eastAsia="仿宋_GB2312" w:hAnsi="宋体"/>
          <w:color w:val="auto"/>
          <w:sz w:val="30"/>
          <w:szCs w:val="30"/>
        </w:rPr>
        <w:t>和更新</w:t>
      </w:r>
      <w:r>
        <w:rPr>
          <w:rFonts w:ascii="仿宋_GB2312" w:eastAsia="仿宋_GB2312" w:hAnsi="宋体" w:hint="eastAsia"/>
          <w:color w:val="auto"/>
          <w:sz w:val="30"/>
          <w:szCs w:val="30"/>
        </w:rPr>
        <w:t>。</w:t>
      </w:r>
    </w:p>
    <w:p w:rsidR="005C402C" w:rsidRDefault="005C402C" w:rsidP="005C402C">
      <w:pPr>
        <w:pStyle w:val="ae"/>
        <w:widowControl w:val="0"/>
        <w:tabs>
          <w:tab w:val="left" w:pos="1985"/>
          <w:tab w:val="left" w:pos="2807"/>
        </w:tabs>
        <w:adjustRightInd w:val="0"/>
        <w:snapToGrid w:val="0"/>
        <w:spacing w:before="0" w:after="0" w:line="360" w:lineRule="auto"/>
        <w:ind w:firstLineChars="200" w:firstLine="602"/>
        <w:jc w:val="both"/>
        <w:rPr>
          <w:rFonts w:ascii="仿宋_GB2312" w:eastAsia="仿宋_GB2312" w:hAnsi="宋体"/>
          <w:color w:val="auto"/>
          <w:sz w:val="30"/>
          <w:szCs w:val="30"/>
        </w:rPr>
      </w:pPr>
      <w:r>
        <w:rPr>
          <w:rFonts w:ascii="仿宋_GB2312" w:eastAsia="仿宋_GB2312" w:hAnsi="宋体" w:hint="eastAsia"/>
          <w:b/>
          <w:color w:val="auto"/>
          <w:sz w:val="30"/>
          <w:szCs w:val="30"/>
        </w:rPr>
        <w:t xml:space="preserve">第六十二条  </w:t>
      </w:r>
      <w:r>
        <w:rPr>
          <w:rFonts w:ascii="仿宋_GB2312" w:eastAsia="仿宋_GB2312" w:hAnsi="宋体" w:hint="eastAsia"/>
          <w:color w:val="auto"/>
          <w:sz w:val="30"/>
          <w:szCs w:val="30"/>
        </w:rPr>
        <w:t>总行授信审批部职责包括：</w:t>
      </w:r>
    </w:p>
    <w:p w:rsidR="005C402C" w:rsidRDefault="005C402C" w:rsidP="005C402C">
      <w:pPr>
        <w:pStyle w:val="ae"/>
        <w:widowControl w:val="0"/>
        <w:tabs>
          <w:tab w:val="left" w:pos="1985"/>
          <w:tab w:val="left" w:pos="2807"/>
        </w:tabs>
        <w:adjustRightInd w:val="0"/>
        <w:snapToGrid w:val="0"/>
        <w:spacing w:before="0" w:after="0" w:line="360" w:lineRule="auto"/>
        <w:ind w:firstLineChars="200" w:firstLine="600"/>
        <w:jc w:val="both"/>
        <w:rPr>
          <w:rFonts w:ascii="仿宋_GB2312" w:eastAsia="仿宋_GB2312" w:hAnsi="宋体"/>
          <w:color w:val="auto"/>
          <w:sz w:val="30"/>
          <w:szCs w:val="30"/>
        </w:rPr>
      </w:pPr>
      <w:r>
        <w:rPr>
          <w:rFonts w:ascii="仿宋_GB2312" w:eastAsia="仿宋_GB2312" w:hAnsi="宋体" w:hint="eastAsia"/>
          <w:color w:val="auto"/>
          <w:sz w:val="30"/>
          <w:szCs w:val="30"/>
        </w:rPr>
        <w:t>（一）负责在授信业务的审查、审批（包括授信和支用环节</w:t>
      </w:r>
      <w:r>
        <w:rPr>
          <w:rFonts w:ascii="仿宋_GB2312" w:eastAsia="仿宋_GB2312" w:hAnsi="宋体" w:hint="eastAsia"/>
          <w:color w:val="auto"/>
          <w:sz w:val="30"/>
          <w:szCs w:val="30"/>
        </w:rPr>
        <w:lastRenderedPageBreak/>
        <w:t>审查、审批）过程中，根据董事会审议确认的关联方名单以及前台业务部门对交易对手的识别情况，对该笔业务是否涉及关联交易进行识别；</w:t>
      </w:r>
    </w:p>
    <w:p w:rsidR="005C402C" w:rsidRDefault="005C402C" w:rsidP="005C402C">
      <w:pPr>
        <w:pStyle w:val="ae"/>
        <w:widowControl w:val="0"/>
        <w:adjustRightInd w:val="0"/>
        <w:snapToGrid w:val="0"/>
        <w:spacing w:before="0" w:after="0" w:line="360" w:lineRule="auto"/>
        <w:ind w:firstLineChars="200" w:firstLine="600"/>
        <w:jc w:val="both"/>
        <w:rPr>
          <w:rFonts w:ascii="仿宋_GB2312" w:eastAsia="仿宋_GB2312" w:hAnsi="宋体"/>
          <w:color w:val="auto"/>
          <w:sz w:val="30"/>
          <w:szCs w:val="30"/>
        </w:rPr>
      </w:pPr>
      <w:r>
        <w:rPr>
          <w:rFonts w:ascii="仿宋_GB2312" w:eastAsia="仿宋_GB2312" w:hAnsi="宋体" w:hint="eastAsia"/>
          <w:color w:val="auto"/>
          <w:sz w:val="30"/>
          <w:szCs w:val="30"/>
        </w:rPr>
        <w:t>（二）负责对本行授信类关联交易进行审查；</w:t>
      </w:r>
    </w:p>
    <w:p w:rsidR="005C402C" w:rsidRDefault="005C402C" w:rsidP="005C402C">
      <w:pPr>
        <w:pStyle w:val="ae"/>
        <w:widowControl w:val="0"/>
        <w:adjustRightInd w:val="0"/>
        <w:snapToGrid w:val="0"/>
        <w:spacing w:before="0" w:after="0" w:line="360" w:lineRule="auto"/>
        <w:ind w:firstLineChars="200" w:firstLine="600"/>
        <w:jc w:val="both"/>
        <w:rPr>
          <w:rFonts w:ascii="仿宋_GB2312" w:eastAsia="仿宋_GB2312" w:hAnsi="宋体"/>
          <w:color w:val="auto"/>
          <w:sz w:val="30"/>
          <w:szCs w:val="30"/>
        </w:rPr>
      </w:pPr>
      <w:r>
        <w:rPr>
          <w:rFonts w:ascii="仿宋_GB2312" w:eastAsia="仿宋_GB2312" w:hAnsi="宋体" w:hint="eastAsia"/>
          <w:color w:val="auto"/>
          <w:sz w:val="30"/>
          <w:szCs w:val="30"/>
        </w:rPr>
        <w:t>（三）负责在关联方出账审批通过后5个工作日内，向总行董事会办公室报送《关联方出账报备表》（附件</w:t>
      </w:r>
      <w:r>
        <w:rPr>
          <w:rFonts w:ascii="仿宋_GB2312" w:eastAsia="仿宋_GB2312" w:hAnsi="宋体"/>
          <w:color w:val="auto"/>
          <w:sz w:val="30"/>
          <w:szCs w:val="30"/>
        </w:rPr>
        <w:t>5</w:t>
      </w:r>
      <w:r>
        <w:rPr>
          <w:rFonts w:ascii="仿宋_GB2312" w:eastAsia="仿宋_GB2312" w:hAnsi="宋体" w:hint="eastAsia"/>
          <w:color w:val="auto"/>
          <w:sz w:val="30"/>
          <w:szCs w:val="30"/>
        </w:rPr>
        <w:t>）。</w:t>
      </w:r>
    </w:p>
    <w:p w:rsidR="005C402C" w:rsidRDefault="005C402C" w:rsidP="005C402C">
      <w:pPr>
        <w:pStyle w:val="ae"/>
        <w:widowControl w:val="0"/>
        <w:tabs>
          <w:tab w:val="left" w:pos="1985"/>
          <w:tab w:val="left" w:pos="2807"/>
        </w:tabs>
        <w:adjustRightInd w:val="0"/>
        <w:snapToGrid w:val="0"/>
        <w:spacing w:before="0" w:after="0" w:line="360" w:lineRule="auto"/>
        <w:ind w:firstLineChars="200" w:firstLine="602"/>
        <w:jc w:val="both"/>
        <w:rPr>
          <w:rFonts w:ascii="仿宋_GB2312" w:eastAsia="仿宋_GB2312" w:hAnsi="宋体"/>
          <w:color w:val="auto"/>
          <w:sz w:val="30"/>
          <w:szCs w:val="30"/>
        </w:rPr>
      </w:pPr>
      <w:r>
        <w:rPr>
          <w:rFonts w:ascii="仿宋_GB2312" w:eastAsia="仿宋_GB2312" w:hAnsi="宋体" w:hint="eastAsia"/>
          <w:b/>
          <w:color w:val="auto"/>
          <w:sz w:val="30"/>
          <w:szCs w:val="30"/>
        </w:rPr>
        <w:t>第六十三条</w:t>
      </w:r>
      <w:r>
        <w:rPr>
          <w:rFonts w:ascii="仿宋_GB2312" w:eastAsia="仿宋_GB2312" w:hAnsi="宋体" w:hint="eastAsia"/>
          <w:color w:val="auto"/>
          <w:sz w:val="30"/>
          <w:szCs w:val="30"/>
        </w:rPr>
        <w:t xml:space="preserve">  总行人力资源部负责按照</w:t>
      </w:r>
      <w:r>
        <w:rPr>
          <w:rFonts w:ascii="仿宋_GB2312" w:eastAsia="仿宋_GB2312" w:hAnsi="宋体"/>
          <w:color w:val="auto"/>
          <w:sz w:val="30"/>
          <w:szCs w:val="30"/>
        </w:rPr>
        <w:t>本办法第三章</w:t>
      </w:r>
      <w:r>
        <w:rPr>
          <w:rFonts w:ascii="仿宋_GB2312" w:eastAsia="仿宋_GB2312" w:hAnsi="宋体" w:hint="eastAsia"/>
          <w:color w:val="auto"/>
          <w:sz w:val="30"/>
          <w:szCs w:val="30"/>
        </w:rPr>
        <w:t>规定</w:t>
      </w:r>
      <w:r>
        <w:rPr>
          <w:rFonts w:ascii="仿宋_GB2312" w:eastAsia="仿宋_GB2312" w:hAnsi="宋体"/>
          <w:color w:val="auto"/>
          <w:sz w:val="30"/>
          <w:szCs w:val="30"/>
        </w:rPr>
        <w:t>，</w:t>
      </w:r>
      <w:r>
        <w:rPr>
          <w:rFonts w:ascii="仿宋_GB2312" w:eastAsia="仿宋_GB2312" w:hAnsi="宋体" w:hint="eastAsia"/>
          <w:color w:val="auto"/>
          <w:sz w:val="30"/>
          <w:szCs w:val="30"/>
        </w:rPr>
        <w:t>对</w:t>
      </w:r>
      <w:r>
        <w:rPr>
          <w:rFonts w:ascii="仿宋_GB2312" w:eastAsia="仿宋_GB2312" w:hAnsi="宋体"/>
          <w:color w:val="auto"/>
          <w:sz w:val="30"/>
          <w:szCs w:val="30"/>
        </w:rPr>
        <w:t>职责范围内关联方信息</w:t>
      </w:r>
      <w:r>
        <w:rPr>
          <w:rFonts w:ascii="仿宋_GB2312" w:eastAsia="仿宋_GB2312" w:hAnsi="宋体" w:hint="eastAsia"/>
          <w:color w:val="auto"/>
          <w:sz w:val="30"/>
          <w:szCs w:val="30"/>
        </w:rPr>
        <w:t>进行收集</w:t>
      </w:r>
      <w:r>
        <w:rPr>
          <w:rFonts w:ascii="仿宋_GB2312" w:eastAsia="仿宋_GB2312" w:hAnsi="宋体"/>
          <w:color w:val="auto"/>
          <w:sz w:val="30"/>
          <w:szCs w:val="30"/>
        </w:rPr>
        <w:t>和更新</w:t>
      </w:r>
      <w:r>
        <w:rPr>
          <w:rFonts w:ascii="仿宋_GB2312" w:eastAsia="仿宋_GB2312" w:hAnsi="宋体" w:hint="eastAsia"/>
          <w:color w:val="auto"/>
          <w:sz w:val="30"/>
          <w:szCs w:val="30"/>
        </w:rPr>
        <w:t xml:space="preserve">。 </w:t>
      </w:r>
    </w:p>
    <w:p w:rsidR="005C402C" w:rsidRDefault="005C402C" w:rsidP="005C402C">
      <w:pPr>
        <w:pStyle w:val="ae"/>
        <w:widowControl w:val="0"/>
        <w:tabs>
          <w:tab w:val="left" w:pos="1985"/>
          <w:tab w:val="left" w:pos="2807"/>
        </w:tabs>
        <w:adjustRightInd w:val="0"/>
        <w:snapToGrid w:val="0"/>
        <w:spacing w:before="0" w:after="0" w:line="360" w:lineRule="auto"/>
        <w:ind w:firstLine="0"/>
        <w:jc w:val="both"/>
        <w:rPr>
          <w:rFonts w:ascii="仿宋_GB2312" w:eastAsia="仿宋_GB2312" w:hAnsi="宋体"/>
          <w:color w:val="auto"/>
          <w:sz w:val="30"/>
          <w:szCs w:val="30"/>
        </w:rPr>
      </w:pPr>
      <w:r>
        <w:rPr>
          <w:rFonts w:ascii="仿宋_GB2312" w:eastAsia="仿宋_GB2312" w:hAnsi="宋体" w:hint="eastAsia"/>
          <w:color w:val="auto"/>
          <w:sz w:val="30"/>
          <w:szCs w:val="30"/>
        </w:rPr>
        <w:t xml:space="preserve">  </w:t>
      </w:r>
      <w:r>
        <w:rPr>
          <w:rFonts w:ascii="仿宋_GB2312" w:eastAsia="仿宋_GB2312" w:hAnsi="宋体"/>
          <w:color w:val="auto"/>
          <w:sz w:val="30"/>
          <w:szCs w:val="30"/>
        </w:rPr>
        <w:t xml:space="preserve">  </w:t>
      </w:r>
      <w:r>
        <w:rPr>
          <w:rFonts w:ascii="仿宋_GB2312" w:eastAsia="仿宋_GB2312" w:hAnsi="宋体" w:hint="eastAsia"/>
          <w:b/>
          <w:color w:val="auto"/>
          <w:sz w:val="30"/>
          <w:szCs w:val="30"/>
        </w:rPr>
        <w:t xml:space="preserve">第六十四条  </w:t>
      </w:r>
      <w:r>
        <w:rPr>
          <w:rFonts w:ascii="仿宋_GB2312" w:eastAsia="仿宋_GB2312" w:hAnsi="宋体" w:hint="eastAsia"/>
          <w:color w:val="auto"/>
          <w:sz w:val="30"/>
          <w:szCs w:val="30"/>
        </w:rPr>
        <w:t>总行公司业务部职责包括：</w:t>
      </w:r>
    </w:p>
    <w:p w:rsidR="005C402C" w:rsidRDefault="005C402C" w:rsidP="005C402C">
      <w:pPr>
        <w:pStyle w:val="ae"/>
        <w:widowControl w:val="0"/>
        <w:adjustRightInd w:val="0"/>
        <w:snapToGrid w:val="0"/>
        <w:spacing w:before="0" w:after="0" w:line="360" w:lineRule="auto"/>
        <w:ind w:firstLineChars="200" w:firstLine="600"/>
        <w:jc w:val="both"/>
        <w:rPr>
          <w:rFonts w:ascii="仿宋_GB2312" w:eastAsia="仿宋_GB2312" w:hAnsi="宋体"/>
          <w:color w:val="auto"/>
          <w:sz w:val="30"/>
          <w:szCs w:val="30"/>
        </w:rPr>
      </w:pPr>
      <w:r>
        <w:rPr>
          <w:rFonts w:ascii="仿宋_GB2312" w:eastAsia="仿宋_GB2312" w:hAnsi="宋体" w:hint="eastAsia"/>
          <w:sz w:val="30"/>
          <w:szCs w:val="30"/>
        </w:rPr>
        <w:t>（一）</w:t>
      </w:r>
      <w:r>
        <w:rPr>
          <w:rFonts w:ascii="仿宋_GB2312" w:eastAsia="仿宋_GB2312" w:hAnsi="宋体" w:hint="eastAsia"/>
          <w:color w:val="auto"/>
          <w:sz w:val="30"/>
          <w:szCs w:val="30"/>
        </w:rPr>
        <w:t>按照</w:t>
      </w:r>
      <w:r>
        <w:rPr>
          <w:rFonts w:ascii="仿宋_GB2312" w:eastAsia="仿宋_GB2312" w:hAnsi="宋体"/>
          <w:color w:val="auto"/>
          <w:sz w:val="30"/>
          <w:szCs w:val="30"/>
        </w:rPr>
        <w:t>本办法第三章</w:t>
      </w:r>
      <w:r>
        <w:rPr>
          <w:rFonts w:ascii="仿宋_GB2312" w:eastAsia="仿宋_GB2312" w:hAnsi="宋体" w:hint="eastAsia"/>
          <w:color w:val="auto"/>
          <w:sz w:val="30"/>
          <w:szCs w:val="30"/>
        </w:rPr>
        <w:t>规定</w:t>
      </w:r>
      <w:r>
        <w:rPr>
          <w:rFonts w:ascii="仿宋_GB2312" w:eastAsia="仿宋_GB2312" w:hAnsi="宋体"/>
          <w:color w:val="auto"/>
          <w:sz w:val="30"/>
          <w:szCs w:val="30"/>
        </w:rPr>
        <w:t>，</w:t>
      </w:r>
      <w:r>
        <w:rPr>
          <w:rFonts w:ascii="仿宋_GB2312" w:eastAsia="仿宋_GB2312" w:hAnsi="宋体" w:hint="eastAsia"/>
          <w:color w:val="auto"/>
          <w:sz w:val="30"/>
          <w:szCs w:val="30"/>
        </w:rPr>
        <w:t>负责</w:t>
      </w:r>
      <w:r>
        <w:rPr>
          <w:rFonts w:ascii="仿宋_GB2312" w:eastAsia="仿宋_GB2312" w:hAnsi="宋体"/>
          <w:color w:val="auto"/>
          <w:sz w:val="30"/>
          <w:szCs w:val="30"/>
        </w:rPr>
        <w:t>职责范围内关联方信息的</w:t>
      </w:r>
      <w:r>
        <w:rPr>
          <w:rFonts w:ascii="仿宋_GB2312" w:eastAsia="仿宋_GB2312" w:hAnsi="宋体" w:hint="eastAsia"/>
          <w:color w:val="auto"/>
          <w:sz w:val="30"/>
          <w:szCs w:val="30"/>
        </w:rPr>
        <w:t>收集</w:t>
      </w:r>
      <w:r>
        <w:rPr>
          <w:rFonts w:ascii="仿宋_GB2312" w:eastAsia="仿宋_GB2312" w:hAnsi="宋体"/>
          <w:color w:val="auto"/>
          <w:sz w:val="30"/>
          <w:szCs w:val="30"/>
        </w:rPr>
        <w:t>和更新</w:t>
      </w:r>
      <w:r>
        <w:rPr>
          <w:rFonts w:ascii="仿宋_GB2312" w:eastAsia="仿宋_GB2312" w:hAnsi="宋体" w:hint="eastAsia"/>
          <w:color w:val="auto"/>
          <w:sz w:val="30"/>
          <w:szCs w:val="30"/>
        </w:rPr>
        <w:t>，本部门归口</w:t>
      </w:r>
      <w:r>
        <w:rPr>
          <w:rFonts w:ascii="仿宋_GB2312" w:eastAsia="仿宋_GB2312" w:hAnsi="宋体"/>
          <w:color w:val="auto"/>
          <w:sz w:val="30"/>
          <w:szCs w:val="30"/>
        </w:rPr>
        <w:t>管理的</w:t>
      </w:r>
      <w:r>
        <w:rPr>
          <w:rFonts w:ascii="仿宋_GB2312" w:eastAsia="仿宋_GB2312" w:hAnsi="宋体" w:hint="eastAsia"/>
          <w:color w:val="auto"/>
          <w:sz w:val="30"/>
          <w:szCs w:val="30"/>
        </w:rPr>
        <w:t>关联方</w:t>
      </w:r>
      <w:r>
        <w:rPr>
          <w:rFonts w:ascii="仿宋_GB2312" w:eastAsia="仿宋_GB2312" w:hAnsi="宋体"/>
          <w:color w:val="auto"/>
          <w:sz w:val="30"/>
          <w:szCs w:val="30"/>
        </w:rPr>
        <w:t>集团成员及授信余额的确认；</w:t>
      </w:r>
    </w:p>
    <w:p w:rsidR="005C402C" w:rsidRDefault="005C402C" w:rsidP="005C402C">
      <w:pPr>
        <w:adjustRightInd w:val="0"/>
        <w:snapToGrid w:val="0"/>
        <w:spacing w:line="360" w:lineRule="auto"/>
        <w:rPr>
          <w:rFonts w:ascii="仿宋_GB2312" w:eastAsia="仿宋_GB2312" w:hAnsi="宋体"/>
          <w:sz w:val="30"/>
          <w:szCs w:val="30"/>
          <w:u w:color="000000"/>
        </w:rPr>
      </w:pPr>
      <w:r>
        <w:rPr>
          <w:rFonts w:ascii="仿宋_GB2312" w:eastAsia="仿宋_GB2312" w:hAnsi="宋体" w:hint="eastAsia"/>
          <w:sz w:val="30"/>
          <w:szCs w:val="30"/>
          <w:u w:color="000000"/>
        </w:rPr>
        <w:t xml:space="preserve">    （二）负责对本条线关联交易进行初审；</w:t>
      </w:r>
    </w:p>
    <w:p w:rsidR="005C402C" w:rsidRDefault="005C402C" w:rsidP="005C402C">
      <w:pPr>
        <w:adjustRightInd w:val="0"/>
        <w:snapToGrid w:val="0"/>
        <w:spacing w:line="360" w:lineRule="auto"/>
        <w:ind w:firstLineChars="200" w:firstLine="600"/>
        <w:rPr>
          <w:rFonts w:ascii="仿宋_GB2312" w:eastAsia="仿宋_GB2312" w:hAnsi="宋体"/>
          <w:sz w:val="30"/>
          <w:szCs w:val="30"/>
          <w:u w:color="000000"/>
        </w:rPr>
      </w:pPr>
      <w:r>
        <w:rPr>
          <w:rFonts w:ascii="仿宋_GB2312" w:eastAsia="仿宋_GB2312" w:hAnsi="宋体" w:hint="eastAsia"/>
          <w:sz w:val="30"/>
          <w:szCs w:val="30"/>
          <w:u w:color="000000"/>
        </w:rPr>
        <w:t>（三）配合做好本条线关联交易提交董事会、股东大会等会议审议时的汇报工作。</w:t>
      </w:r>
    </w:p>
    <w:p w:rsidR="005C402C" w:rsidRDefault="005C402C" w:rsidP="005C402C">
      <w:pPr>
        <w:pStyle w:val="ae"/>
        <w:widowControl w:val="0"/>
        <w:tabs>
          <w:tab w:val="left" w:pos="1985"/>
          <w:tab w:val="left" w:pos="2807"/>
        </w:tabs>
        <w:adjustRightInd w:val="0"/>
        <w:snapToGrid w:val="0"/>
        <w:spacing w:before="0" w:after="0" w:line="360" w:lineRule="auto"/>
        <w:ind w:firstLineChars="200" w:firstLine="602"/>
        <w:jc w:val="both"/>
        <w:rPr>
          <w:rFonts w:ascii="仿宋_GB2312" w:eastAsia="仿宋_GB2312" w:hAnsi="宋体"/>
          <w:color w:val="auto"/>
          <w:sz w:val="30"/>
          <w:szCs w:val="30"/>
        </w:rPr>
      </w:pPr>
      <w:r>
        <w:rPr>
          <w:rFonts w:ascii="仿宋_GB2312" w:eastAsia="仿宋_GB2312" w:hAnsi="宋体" w:hint="eastAsia"/>
          <w:b/>
          <w:color w:val="auto"/>
          <w:sz w:val="30"/>
          <w:szCs w:val="30"/>
        </w:rPr>
        <w:t>第六十五条</w:t>
      </w:r>
      <w:r>
        <w:rPr>
          <w:rFonts w:ascii="仿宋_GB2312" w:eastAsia="仿宋_GB2312" w:hAnsi="宋体" w:hint="eastAsia"/>
          <w:color w:val="auto"/>
          <w:sz w:val="30"/>
          <w:szCs w:val="30"/>
        </w:rPr>
        <w:t xml:space="preserve">  总行小微金融业务部职责包括：</w:t>
      </w:r>
    </w:p>
    <w:p w:rsidR="005C402C" w:rsidRDefault="005C402C" w:rsidP="005C402C">
      <w:pPr>
        <w:pStyle w:val="ae"/>
        <w:widowControl w:val="0"/>
        <w:adjustRightInd w:val="0"/>
        <w:snapToGrid w:val="0"/>
        <w:spacing w:before="0" w:after="0" w:line="360" w:lineRule="auto"/>
        <w:ind w:firstLineChars="200" w:firstLine="600"/>
        <w:jc w:val="both"/>
        <w:rPr>
          <w:rFonts w:ascii="仿宋_GB2312" w:eastAsia="仿宋_GB2312" w:hAnsi="宋体"/>
          <w:color w:val="auto"/>
          <w:sz w:val="30"/>
          <w:szCs w:val="30"/>
        </w:rPr>
      </w:pPr>
      <w:r>
        <w:rPr>
          <w:rFonts w:ascii="仿宋_GB2312" w:eastAsia="仿宋_GB2312" w:hAnsi="宋体" w:hint="eastAsia"/>
          <w:sz w:val="30"/>
          <w:szCs w:val="30"/>
        </w:rPr>
        <w:t>（一）</w:t>
      </w:r>
      <w:r>
        <w:rPr>
          <w:rFonts w:ascii="仿宋_GB2312" w:eastAsia="仿宋_GB2312" w:hAnsi="宋体" w:hint="eastAsia"/>
          <w:color w:val="auto"/>
          <w:sz w:val="30"/>
          <w:szCs w:val="30"/>
        </w:rPr>
        <w:t>按照</w:t>
      </w:r>
      <w:r>
        <w:rPr>
          <w:rFonts w:ascii="仿宋_GB2312" w:eastAsia="仿宋_GB2312" w:hAnsi="宋体"/>
          <w:color w:val="auto"/>
          <w:sz w:val="30"/>
          <w:szCs w:val="30"/>
        </w:rPr>
        <w:t>本办法第三章</w:t>
      </w:r>
      <w:r>
        <w:rPr>
          <w:rFonts w:ascii="仿宋_GB2312" w:eastAsia="仿宋_GB2312" w:hAnsi="宋体" w:hint="eastAsia"/>
          <w:color w:val="auto"/>
          <w:sz w:val="30"/>
          <w:szCs w:val="30"/>
        </w:rPr>
        <w:t>规定</w:t>
      </w:r>
      <w:r>
        <w:rPr>
          <w:rFonts w:ascii="仿宋_GB2312" w:eastAsia="仿宋_GB2312" w:hAnsi="宋体"/>
          <w:color w:val="auto"/>
          <w:sz w:val="30"/>
          <w:szCs w:val="30"/>
        </w:rPr>
        <w:t>，</w:t>
      </w:r>
      <w:r>
        <w:rPr>
          <w:rFonts w:ascii="仿宋_GB2312" w:eastAsia="仿宋_GB2312" w:hAnsi="宋体" w:hint="eastAsia"/>
          <w:color w:val="auto"/>
          <w:sz w:val="30"/>
          <w:szCs w:val="30"/>
        </w:rPr>
        <w:t>负责</w:t>
      </w:r>
      <w:r>
        <w:rPr>
          <w:rFonts w:ascii="仿宋_GB2312" w:eastAsia="仿宋_GB2312" w:hAnsi="宋体"/>
          <w:color w:val="auto"/>
          <w:sz w:val="30"/>
          <w:szCs w:val="30"/>
        </w:rPr>
        <w:t>职责范围内关联方信息的</w:t>
      </w:r>
      <w:r>
        <w:rPr>
          <w:rFonts w:ascii="仿宋_GB2312" w:eastAsia="仿宋_GB2312" w:hAnsi="宋体" w:hint="eastAsia"/>
          <w:color w:val="auto"/>
          <w:sz w:val="30"/>
          <w:szCs w:val="30"/>
        </w:rPr>
        <w:t>收集</w:t>
      </w:r>
      <w:r>
        <w:rPr>
          <w:rFonts w:ascii="仿宋_GB2312" w:eastAsia="仿宋_GB2312" w:hAnsi="宋体"/>
          <w:color w:val="auto"/>
          <w:sz w:val="30"/>
          <w:szCs w:val="30"/>
        </w:rPr>
        <w:t>和更新</w:t>
      </w:r>
      <w:r>
        <w:rPr>
          <w:rFonts w:ascii="仿宋_GB2312" w:eastAsia="仿宋_GB2312" w:hAnsi="宋体" w:hint="eastAsia"/>
          <w:color w:val="auto"/>
          <w:sz w:val="30"/>
          <w:szCs w:val="30"/>
        </w:rPr>
        <w:t>，本部门归口管理的关联方集团成员及授信余额的确认；</w:t>
      </w:r>
    </w:p>
    <w:p w:rsidR="005C402C" w:rsidRDefault="005C402C" w:rsidP="005C402C">
      <w:pPr>
        <w:adjustRightInd w:val="0"/>
        <w:snapToGrid w:val="0"/>
        <w:spacing w:line="360" w:lineRule="auto"/>
        <w:ind w:firstLineChars="200" w:firstLine="600"/>
        <w:rPr>
          <w:rFonts w:ascii="仿宋_GB2312" w:eastAsia="仿宋_GB2312" w:hAnsi="宋体"/>
          <w:sz w:val="30"/>
          <w:szCs w:val="30"/>
          <w:u w:color="000000"/>
        </w:rPr>
      </w:pPr>
      <w:r>
        <w:rPr>
          <w:rFonts w:ascii="仿宋_GB2312" w:eastAsia="仿宋_GB2312" w:hAnsi="宋体" w:hint="eastAsia"/>
          <w:sz w:val="30"/>
          <w:szCs w:val="30"/>
          <w:u w:color="000000"/>
        </w:rPr>
        <w:t>（二）负责对本条线关联交易业务进行初审；</w:t>
      </w:r>
    </w:p>
    <w:p w:rsidR="005C402C" w:rsidRDefault="005C402C" w:rsidP="005C402C">
      <w:pPr>
        <w:adjustRightInd w:val="0"/>
        <w:snapToGrid w:val="0"/>
        <w:spacing w:line="360" w:lineRule="auto"/>
        <w:ind w:firstLineChars="200" w:firstLine="600"/>
        <w:rPr>
          <w:rFonts w:ascii="仿宋_GB2312" w:eastAsia="仿宋_GB2312" w:hAnsi="宋体"/>
          <w:sz w:val="30"/>
          <w:szCs w:val="30"/>
          <w:u w:color="000000"/>
        </w:rPr>
      </w:pPr>
      <w:r>
        <w:rPr>
          <w:rFonts w:ascii="仿宋_GB2312" w:eastAsia="仿宋_GB2312" w:hAnsi="宋体" w:hint="eastAsia"/>
          <w:sz w:val="30"/>
          <w:szCs w:val="30"/>
          <w:u w:color="000000"/>
        </w:rPr>
        <w:t>（三）配合做好本条线关联交易提交董事会、股东大会等会议审议时的汇报工作。</w:t>
      </w:r>
    </w:p>
    <w:p w:rsidR="005C402C" w:rsidRDefault="005C402C" w:rsidP="005C402C">
      <w:pPr>
        <w:pStyle w:val="ae"/>
        <w:widowControl w:val="0"/>
        <w:tabs>
          <w:tab w:val="left" w:pos="1985"/>
          <w:tab w:val="left" w:pos="2807"/>
        </w:tabs>
        <w:adjustRightInd w:val="0"/>
        <w:snapToGrid w:val="0"/>
        <w:spacing w:before="0" w:after="0" w:line="360" w:lineRule="auto"/>
        <w:ind w:firstLineChars="200" w:firstLine="602"/>
        <w:jc w:val="both"/>
        <w:rPr>
          <w:rFonts w:ascii="仿宋_GB2312" w:eastAsia="仿宋_GB2312" w:hAnsi="宋体"/>
          <w:sz w:val="30"/>
          <w:szCs w:val="30"/>
        </w:rPr>
      </w:pPr>
      <w:r>
        <w:rPr>
          <w:rFonts w:ascii="仿宋_GB2312" w:eastAsia="仿宋_GB2312" w:hAnsi="宋体" w:hint="eastAsia"/>
          <w:b/>
          <w:sz w:val="30"/>
          <w:szCs w:val="30"/>
        </w:rPr>
        <w:t>第六十六条</w:t>
      </w:r>
      <w:r>
        <w:rPr>
          <w:rFonts w:ascii="仿宋_GB2312" w:eastAsia="仿宋_GB2312" w:hAnsi="宋体" w:hint="eastAsia"/>
          <w:sz w:val="30"/>
          <w:szCs w:val="30"/>
        </w:rPr>
        <w:t xml:space="preserve">  总行国际业务部职责包括：</w:t>
      </w:r>
    </w:p>
    <w:p w:rsidR="005C402C" w:rsidRDefault="005C402C" w:rsidP="005C402C">
      <w:pPr>
        <w:adjustRightInd w:val="0"/>
        <w:snapToGrid w:val="0"/>
        <w:spacing w:line="360" w:lineRule="auto"/>
        <w:ind w:firstLineChars="200" w:firstLine="600"/>
        <w:rPr>
          <w:rFonts w:ascii="仿宋_GB2312" w:eastAsia="仿宋_GB2312" w:hAnsi="宋体"/>
          <w:sz w:val="30"/>
          <w:szCs w:val="30"/>
          <w:u w:color="000000"/>
        </w:rPr>
      </w:pPr>
      <w:r>
        <w:rPr>
          <w:rFonts w:ascii="仿宋_GB2312" w:eastAsia="仿宋_GB2312" w:hAnsi="宋体" w:hint="eastAsia"/>
          <w:sz w:val="30"/>
          <w:szCs w:val="30"/>
          <w:u w:color="000000"/>
        </w:rPr>
        <w:t>（一）负责对涉及</w:t>
      </w:r>
      <w:r>
        <w:rPr>
          <w:rFonts w:ascii="仿宋_GB2312" w:eastAsia="仿宋_GB2312" w:hAnsi="宋体"/>
          <w:sz w:val="30"/>
          <w:szCs w:val="30"/>
          <w:u w:color="000000"/>
        </w:rPr>
        <w:t>国际业务</w:t>
      </w:r>
      <w:r>
        <w:rPr>
          <w:rFonts w:ascii="仿宋_GB2312" w:eastAsia="仿宋_GB2312" w:hAnsi="宋体" w:hint="eastAsia"/>
          <w:sz w:val="30"/>
          <w:szCs w:val="30"/>
          <w:u w:color="000000"/>
        </w:rPr>
        <w:t>相关关联交易进行初审；</w:t>
      </w:r>
    </w:p>
    <w:p w:rsidR="005C402C" w:rsidRDefault="005C402C" w:rsidP="005C402C">
      <w:pPr>
        <w:adjustRightInd w:val="0"/>
        <w:snapToGrid w:val="0"/>
        <w:spacing w:line="360" w:lineRule="auto"/>
        <w:ind w:firstLineChars="200" w:firstLine="600"/>
        <w:rPr>
          <w:rFonts w:ascii="仿宋_GB2312" w:eastAsia="仿宋_GB2312" w:hAnsi="宋体"/>
          <w:sz w:val="30"/>
          <w:szCs w:val="30"/>
          <w:u w:color="000000"/>
        </w:rPr>
      </w:pPr>
      <w:r>
        <w:rPr>
          <w:rFonts w:ascii="仿宋_GB2312" w:eastAsia="仿宋_GB2312" w:hAnsi="宋体" w:hint="eastAsia"/>
          <w:sz w:val="30"/>
          <w:szCs w:val="30"/>
          <w:u w:color="000000"/>
        </w:rPr>
        <w:lastRenderedPageBreak/>
        <w:t>（二）配合做好涉及国际</w:t>
      </w:r>
      <w:r>
        <w:rPr>
          <w:rFonts w:ascii="仿宋_GB2312" w:eastAsia="仿宋_GB2312" w:hAnsi="宋体"/>
          <w:sz w:val="30"/>
          <w:szCs w:val="30"/>
          <w:u w:color="000000"/>
        </w:rPr>
        <w:t>业务相关</w:t>
      </w:r>
      <w:r>
        <w:rPr>
          <w:rFonts w:ascii="仿宋_GB2312" w:eastAsia="仿宋_GB2312" w:hAnsi="宋体" w:hint="eastAsia"/>
          <w:sz w:val="30"/>
          <w:szCs w:val="30"/>
          <w:u w:color="000000"/>
        </w:rPr>
        <w:t>关联交易提交董事会、股东大会等会议审议时的汇报工作。</w:t>
      </w:r>
    </w:p>
    <w:p w:rsidR="005C402C" w:rsidRDefault="005C402C" w:rsidP="005C402C">
      <w:pPr>
        <w:adjustRightInd w:val="0"/>
        <w:snapToGrid w:val="0"/>
        <w:spacing w:line="360" w:lineRule="auto"/>
        <w:ind w:firstLineChars="200" w:firstLine="602"/>
        <w:rPr>
          <w:rFonts w:ascii="仿宋_GB2312" w:eastAsia="仿宋_GB2312" w:hAnsi="宋体"/>
          <w:sz w:val="30"/>
          <w:szCs w:val="30"/>
        </w:rPr>
      </w:pPr>
      <w:r>
        <w:rPr>
          <w:rFonts w:ascii="仿宋_GB2312" w:eastAsia="仿宋_GB2312" w:hAnsi="宋体" w:hint="eastAsia"/>
          <w:b/>
          <w:sz w:val="30"/>
          <w:szCs w:val="30"/>
        </w:rPr>
        <w:t>第六十七条</w:t>
      </w:r>
      <w:r>
        <w:rPr>
          <w:rFonts w:ascii="仿宋_GB2312" w:eastAsia="仿宋_GB2312" w:hAnsi="宋体" w:hint="eastAsia"/>
          <w:sz w:val="30"/>
          <w:szCs w:val="30"/>
        </w:rPr>
        <w:t xml:space="preserve">  总行计划财务部职责包括：</w:t>
      </w:r>
    </w:p>
    <w:p w:rsidR="005C402C" w:rsidRDefault="005C402C" w:rsidP="005C402C">
      <w:pPr>
        <w:adjustRightInd w:val="0"/>
        <w:snapToGrid w:val="0"/>
        <w:spacing w:line="360" w:lineRule="auto"/>
        <w:ind w:firstLine="600"/>
        <w:rPr>
          <w:rFonts w:ascii="仿宋_GB2312" w:eastAsia="仿宋_GB2312" w:hAnsi="宋体"/>
          <w:sz w:val="30"/>
          <w:szCs w:val="30"/>
          <w:u w:color="000000"/>
        </w:rPr>
      </w:pPr>
      <w:r>
        <w:rPr>
          <w:rFonts w:ascii="仿宋_GB2312" w:eastAsia="仿宋_GB2312" w:hAnsi="宋体" w:hint="eastAsia"/>
          <w:sz w:val="30"/>
          <w:szCs w:val="30"/>
          <w:u w:color="000000"/>
        </w:rPr>
        <w:t>（一）负责按照本办法第三章规定，对本行对外股权投资（非银行类机构）关联方信息进行收集和更新；对该关联</w:t>
      </w:r>
      <w:r>
        <w:rPr>
          <w:rFonts w:ascii="仿宋_GB2312" w:eastAsia="仿宋_GB2312" w:hAnsi="宋体"/>
          <w:sz w:val="30"/>
          <w:szCs w:val="30"/>
          <w:u w:color="000000"/>
        </w:rPr>
        <w:t>机构</w:t>
      </w:r>
      <w:r>
        <w:rPr>
          <w:rFonts w:ascii="仿宋_GB2312" w:eastAsia="仿宋_GB2312" w:hAnsi="宋体" w:hint="eastAsia"/>
          <w:sz w:val="30"/>
          <w:szCs w:val="30"/>
          <w:u w:color="000000"/>
        </w:rPr>
        <w:t>与本行关联方之间的关联交易进行监测，在每次关联交易审批之日起10个工作日内向董事会办公室进行报告。</w:t>
      </w:r>
    </w:p>
    <w:p w:rsidR="005C402C" w:rsidRDefault="005C402C" w:rsidP="005C402C">
      <w:pPr>
        <w:adjustRightInd w:val="0"/>
        <w:snapToGrid w:val="0"/>
        <w:spacing w:line="360" w:lineRule="auto"/>
        <w:ind w:firstLine="600"/>
        <w:rPr>
          <w:rFonts w:ascii="仿宋_GB2312" w:eastAsia="仿宋_GB2312" w:hAnsi="宋体"/>
          <w:sz w:val="30"/>
          <w:szCs w:val="30"/>
          <w:u w:color="000000"/>
        </w:rPr>
      </w:pPr>
      <w:r>
        <w:rPr>
          <w:rFonts w:ascii="仿宋_GB2312" w:eastAsia="仿宋_GB2312" w:hAnsi="宋体" w:hint="eastAsia"/>
          <w:sz w:val="30"/>
          <w:szCs w:val="30"/>
          <w:u w:color="000000"/>
        </w:rPr>
        <w:t>（二）负责对本条线关联交易业务进行初审；</w:t>
      </w:r>
    </w:p>
    <w:p w:rsidR="005C402C" w:rsidRDefault="005C402C" w:rsidP="005C402C">
      <w:pPr>
        <w:adjustRightInd w:val="0"/>
        <w:snapToGrid w:val="0"/>
        <w:spacing w:line="360" w:lineRule="auto"/>
        <w:ind w:firstLineChars="200" w:firstLine="600"/>
        <w:rPr>
          <w:rFonts w:ascii="仿宋_GB2312" w:eastAsia="仿宋_GB2312" w:hAnsi="宋体"/>
          <w:sz w:val="30"/>
          <w:szCs w:val="30"/>
          <w:u w:color="000000"/>
        </w:rPr>
      </w:pPr>
      <w:r>
        <w:rPr>
          <w:rFonts w:ascii="仿宋_GB2312" w:eastAsia="仿宋_GB2312" w:hAnsi="宋体" w:hint="eastAsia"/>
          <w:sz w:val="30"/>
          <w:szCs w:val="30"/>
          <w:u w:color="000000"/>
        </w:rPr>
        <w:t>（三）负责按照会计准则要求编制关联方及关联交易财务会计信息；</w:t>
      </w:r>
    </w:p>
    <w:p w:rsidR="005C402C" w:rsidRDefault="005C402C" w:rsidP="005C402C">
      <w:pPr>
        <w:adjustRightInd w:val="0"/>
        <w:snapToGrid w:val="0"/>
        <w:spacing w:line="360" w:lineRule="auto"/>
        <w:ind w:firstLineChars="200" w:firstLine="600"/>
        <w:rPr>
          <w:rFonts w:ascii="仿宋_GB2312" w:eastAsia="仿宋_GB2312" w:hAnsi="宋体"/>
          <w:sz w:val="30"/>
          <w:szCs w:val="30"/>
          <w:u w:color="000000"/>
        </w:rPr>
      </w:pPr>
      <w:r>
        <w:rPr>
          <w:rFonts w:ascii="仿宋_GB2312" w:eastAsia="仿宋_GB2312" w:hAnsi="宋体" w:hint="eastAsia"/>
          <w:sz w:val="30"/>
          <w:szCs w:val="30"/>
          <w:u w:color="000000"/>
        </w:rPr>
        <w:t>（四）配合</w:t>
      </w:r>
      <w:r>
        <w:rPr>
          <w:rFonts w:ascii="仿宋_GB2312" w:eastAsia="仿宋_GB2312" w:hAnsi="宋体"/>
          <w:sz w:val="30"/>
          <w:szCs w:val="30"/>
          <w:u w:color="000000"/>
        </w:rPr>
        <w:t>做好</w:t>
      </w:r>
      <w:r>
        <w:rPr>
          <w:rFonts w:ascii="仿宋_GB2312" w:eastAsia="仿宋_GB2312" w:hAnsi="宋体" w:hint="eastAsia"/>
          <w:sz w:val="30"/>
          <w:szCs w:val="30"/>
          <w:u w:color="000000"/>
        </w:rPr>
        <w:t>本行对外股权投资（非银行类机构）关联方关联</w:t>
      </w:r>
      <w:r>
        <w:rPr>
          <w:rFonts w:ascii="仿宋_GB2312" w:eastAsia="仿宋_GB2312" w:hAnsi="宋体"/>
          <w:sz w:val="30"/>
          <w:szCs w:val="30"/>
          <w:u w:color="000000"/>
        </w:rPr>
        <w:t>交易提交</w:t>
      </w:r>
      <w:r>
        <w:rPr>
          <w:rFonts w:ascii="仿宋_GB2312" w:eastAsia="仿宋_GB2312" w:hAnsi="宋体" w:hint="eastAsia"/>
          <w:sz w:val="30"/>
          <w:szCs w:val="30"/>
          <w:u w:color="000000"/>
        </w:rPr>
        <w:t>董事会、股东大会等会议审议时的汇报工作。</w:t>
      </w:r>
    </w:p>
    <w:p w:rsidR="005C402C" w:rsidRDefault="005C402C" w:rsidP="005C402C">
      <w:pPr>
        <w:adjustRightInd w:val="0"/>
        <w:snapToGrid w:val="0"/>
        <w:spacing w:line="360" w:lineRule="auto"/>
        <w:ind w:firstLineChars="200" w:firstLine="602"/>
        <w:rPr>
          <w:rFonts w:ascii="仿宋_GB2312" w:eastAsia="仿宋_GB2312" w:hAnsi="宋体"/>
          <w:sz w:val="30"/>
          <w:szCs w:val="30"/>
          <w:u w:color="000000"/>
        </w:rPr>
      </w:pPr>
      <w:r>
        <w:rPr>
          <w:rFonts w:ascii="仿宋_GB2312" w:eastAsia="仿宋_GB2312" w:hAnsi="宋体" w:hint="eastAsia"/>
          <w:b/>
          <w:sz w:val="30"/>
          <w:szCs w:val="30"/>
        </w:rPr>
        <w:t>第六十八条</w:t>
      </w:r>
      <w:r>
        <w:rPr>
          <w:rFonts w:ascii="仿宋_GB2312" w:eastAsia="仿宋_GB2312" w:hAnsi="宋体" w:hint="eastAsia"/>
          <w:sz w:val="30"/>
          <w:szCs w:val="30"/>
        </w:rPr>
        <w:t xml:space="preserve">  </w:t>
      </w:r>
      <w:r>
        <w:rPr>
          <w:rFonts w:ascii="仿宋_GB2312" w:eastAsia="仿宋_GB2312" w:hAnsi="宋体" w:hint="eastAsia"/>
          <w:sz w:val="30"/>
          <w:szCs w:val="30"/>
          <w:u w:color="000000"/>
        </w:rPr>
        <w:t>村镇银行管理部职责</w:t>
      </w:r>
      <w:r>
        <w:rPr>
          <w:rFonts w:ascii="仿宋_GB2312" w:eastAsia="仿宋_GB2312" w:hAnsi="宋体"/>
          <w:sz w:val="30"/>
          <w:szCs w:val="30"/>
          <w:u w:color="000000"/>
        </w:rPr>
        <w:t>包括</w:t>
      </w:r>
      <w:r>
        <w:rPr>
          <w:rFonts w:ascii="仿宋_GB2312" w:eastAsia="仿宋_GB2312" w:hAnsi="宋体" w:hint="eastAsia"/>
          <w:sz w:val="30"/>
          <w:szCs w:val="30"/>
          <w:u w:color="000000"/>
        </w:rPr>
        <w:t>：</w:t>
      </w:r>
    </w:p>
    <w:p w:rsidR="005C402C" w:rsidRDefault="005C402C" w:rsidP="005C402C">
      <w:pPr>
        <w:adjustRightInd w:val="0"/>
        <w:snapToGrid w:val="0"/>
        <w:spacing w:line="360" w:lineRule="auto"/>
        <w:ind w:firstLineChars="200" w:firstLine="600"/>
        <w:rPr>
          <w:rFonts w:ascii="仿宋_GB2312" w:eastAsia="仿宋_GB2312" w:hAnsi="宋体"/>
          <w:sz w:val="30"/>
          <w:szCs w:val="30"/>
          <w:u w:color="000000"/>
        </w:rPr>
      </w:pPr>
      <w:r>
        <w:rPr>
          <w:rFonts w:ascii="仿宋_GB2312" w:eastAsia="仿宋_GB2312" w:hAnsi="宋体" w:hint="eastAsia"/>
          <w:sz w:val="30"/>
          <w:szCs w:val="30"/>
          <w:u w:color="000000"/>
        </w:rPr>
        <w:t>（一）负责按照本办法第三章规定，对村镇银行关联方信息进行收集和更新；对村镇</w:t>
      </w:r>
      <w:r>
        <w:rPr>
          <w:rFonts w:ascii="仿宋_GB2312" w:eastAsia="仿宋_GB2312" w:hAnsi="宋体"/>
          <w:sz w:val="30"/>
          <w:szCs w:val="30"/>
          <w:u w:color="000000"/>
        </w:rPr>
        <w:t>银行</w:t>
      </w:r>
      <w:r>
        <w:rPr>
          <w:rFonts w:ascii="仿宋_GB2312" w:eastAsia="仿宋_GB2312" w:hAnsi="宋体" w:hint="eastAsia"/>
          <w:sz w:val="30"/>
          <w:szCs w:val="30"/>
          <w:u w:color="000000"/>
        </w:rPr>
        <w:t>与本行关联方之间的关联交易进行监测，在每次关联交易审批之日起10个工作日内向董事会办公室进行报告。</w:t>
      </w:r>
    </w:p>
    <w:p w:rsidR="005C402C" w:rsidRDefault="005C402C" w:rsidP="005C402C">
      <w:pPr>
        <w:adjustRightInd w:val="0"/>
        <w:snapToGrid w:val="0"/>
        <w:spacing w:line="360" w:lineRule="auto"/>
        <w:ind w:firstLineChars="200" w:firstLine="600"/>
        <w:rPr>
          <w:rFonts w:ascii="仿宋_GB2312" w:eastAsia="仿宋_GB2312" w:hAnsi="宋体"/>
          <w:sz w:val="30"/>
          <w:szCs w:val="30"/>
          <w:u w:color="000000"/>
        </w:rPr>
      </w:pPr>
      <w:r>
        <w:rPr>
          <w:rFonts w:ascii="仿宋_GB2312" w:eastAsia="仿宋_GB2312" w:hAnsi="宋体" w:hint="eastAsia"/>
          <w:sz w:val="30"/>
          <w:szCs w:val="30"/>
          <w:u w:color="000000"/>
        </w:rPr>
        <w:t>（二）配合</w:t>
      </w:r>
      <w:r>
        <w:rPr>
          <w:rFonts w:ascii="仿宋_GB2312" w:eastAsia="仿宋_GB2312" w:hAnsi="宋体"/>
          <w:sz w:val="30"/>
          <w:szCs w:val="30"/>
          <w:u w:color="000000"/>
        </w:rPr>
        <w:t>做好</w:t>
      </w:r>
      <w:r>
        <w:rPr>
          <w:rFonts w:ascii="仿宋_GB2312" w:eastAsia="仿宋_GB2312" w:hAnsi="宋体" w:hint="eastAsia"/>
          <w:sz w:val="30"/>
          <w:szCs w:val="30"/>
          <w:u w:color="000000"/>
        </w:rPr>
        <w:t>村镇银行关联</w:t>
      </w:r>
      <w:r>
        <w:rPr>
          <w:rFonts w:ascii="仿宋_GB2312" w:eastAsia="仿宋_GB2312" w:hAnsi="宋体"/>
          <w:sz w:val="30"/>
          <w:szCs w:val="30"/>
          <w:u w:color="000000"/>
        </w:rPr>
        <w:t>交易提交</w:t>
      </w:r>
      <w:r>
        <w:rPr>
          <w:rFonts w:ascii="仿宋_GB2312" w:eastAsia="仿宋_GB2312" w:hAnsi="宋体" w:hint="eastAsia"/>
          <w:sz w:val="30"/>
          <w:szCs w:val="30"/>
          <w:u w:color="000000"/>
        </w:rPr>
        <w:t>董事会、股东大会等会议审议时的汇报工作。</w:t>
      </w:r>
    </w:p>
    <w:p w:rsidR="005C402C" w:rsidRDefault="005C402C" w:rsidP="005C402C">
      <w:pPr>
        <w:adjustRightInd w:val="0"/>
        <w:snapToGrid w:val="0"/>
        <w:spacing w:line="360" w:lineRule="auto"/>
        <w:ind w:firstLineChars="200" w:firstLine="602"/>
        <w:rPr>
          <w:rFonts w:ascii="仿宋_GB2312" w:eastAsia="仿宋_GB2312" w:hAnsi="宋体"/>
          <w:sz w:val="30"/>
          <w:szCs w:val="30"/>
          <w:u w:color="000000"/>
        </w:rPr>
      </w:pPr>
      <w:r>
        <w:rPr>
          <w:rFonts w:ascii="仿宋_GB2312" w:eastAsia="仿宋_GB2312" w:hAnsi="宋体" w:hint="eastAsia"/>
          <w:b/>
          <w:sz w:val="30"/>
          <w:szCs w:val="30"/>
          <w:u w:color="000000"/>
        </w:rPr>
        <w:t>第六十九条</w:t>
      </w:r>
      <w:r>
        <w:rPr>
          <w:rFonts w:ascii="仿宋_GB2312" w:eastAsia="仿宋_GB2312" w:hAnsi="宋体" w:hint="eastAsia"/>
          <w:sz w:val="30"/>
          <w:szCs w:val="30"/>
          <w:u w:color="000000"/>
        </w:rPr>
        <w:t xml:space="preserve">  总行金融</w:t>
      </w:r>
      <w:r>
        <w:rPr>
          <w:rFonts w:ascii="仿宋_GB2312" w:eastAsia="仿宋_GB2312" w:hAnsi="宋体"/>
          <w:sz w:val="30"/>
          <w:szCs w:val="30"/>
          <w:u w:color="000000"/>
        </w:rPr>
        <w:t>市场业务管理部职责包括：</w:t>
      </w:r>
    </w:p>
    <w:p w:rsidR="005C402C" w:rsidRDefault="005C402C" w:rsidP="005C402C">
      <w:pPr>
        <w:adjustRightInd w:val="0"/>
        <w:snapToGrid w:val="0"/>
        <w:spacing w:line="360" w:lineRule="auto"/>
        <w:ind w:firstLineChars="200" w:firstLine="600"/>
        <w:rPr>
          <w:rFonts w:ascii="仿宋_GB2312" w:eastAsia="仿宋_GB2312" w:hAnsi="宋体"/>
          <w:sz w:val="30"/>
          <w:szCs w:val="30"/>
          <w:u w:color="000000"/>
        </w:rPr>
      </w:pPr>
      <w:r>
        <w:rPr>
          <w:rFonts w:ascii="仿宋_GB2312" w:eastAsia="仿宋_GB2312" w:hAnsi="宋体" w:hint="eastAsia"/>
          <w:sz w:val="30"/>
          <w:szCs w:val="30"/>
          <w:u w:color="000000"/>
        </w:rPr>
        <w:t>（一）负责本部门归口管理的关联方集团成员及授信余额的确认；</w:t>
      </w:r>
    </w:p>
    <w:p w:rsidR="005C402C" w:rsidRDefault="005C402C" w:rsidP="005C402C">
      <w:pPr>
        <w:adjustRightInd w:val="0"/>
        <w:snapToGrid w:val="0"/>
        <w:spacing w:line="360" w:lineRule="auto"/>
        <w:ind w:firstLineChars="200" w:firstLine="600"/>
        <w:rPr>
          <w:rFonts w:ascii="仿宋_GB2312" w:eastAsia="仿宋_GB2312" w:hAnsi="宋体"/>
          <w:sz w:val="30"/>
          <w:szCs w:val="30"/>
          <w:u w:color="000000"/>
        </w:rPr>
      </w:pPr>
      <w:r>
        <w:rPr>
          <w:rFonts w:ascii="仿宋_GB2312" w:eastAsia="仿宋_GB2312" w:hAnsi="宋体" w:hint="eastAsia"/>
          <w:sz w:val="30"/>
          <w:szCs w:val="30"/>
          <w:u w:color="000000"/>
        </w:rPr>
        <w:t>（二）负责对本条线关联交易业务进行初审；</w:t>
      </w:r>
    </w:p>
    <w:p w:rsidR="005C402C" w:rsidRDefault="005C402C" w:rsidP="005C402C">
      <w:pPr>
        <w:adjustRightInd w:val="0"/>
        <w:snapToGrid w:val="0"/>
        <w:spacing w:line="360" w:lineRule="auto"/>
        <w:ind w:firstLineChars="200" w:firstLine="600"/>
        <w:rPr>
          <w:rFonts w:ascii="仿宋_GB2312" w:eastAsia="仿宋_GB2312" w:hAnsi="宋体"/>
          <w:sz w:val="30"/>
          <w:szCs w:val="30"/>
          <w:u w:color="000000"/>
        </w:rPr>
      </w:pPr>
      <w:r>
        <w:rPr>
          <w:rFonts w:ascii="仿宋_GB2312" w:eastAsia="仿宋_GB2312" w:hAnsi="宋体" w:hint="eastAsia"/>
          <w:sz w:val="30"/>
          <w:szCs w:val="30"/>
          <w:u w:color="000000"/>
        </w:rPr>
        <w:t>（三）配合</w:t>
      </w:r>
      <w:r>
        <w:rPr>
          <w:rFonts w:ascii="仿宋_GB2312" w:eastAsia="仿宋_GB2312" w:hAnsi="宋体"/>
          <w:sz w:val="30"/>
          <w:szCs w:val="30"/>
          <w:u w:color="000000"/>
        </w:rPr>
        <w:t>做好</w:t>
      </w:r>
      <w:r>
        <w:rPr>
          <w:rFonts w:ascii="仿宋_GB2312" w:eastAsia="仿宋_GB2312" w:hAnsi="宋体" w:hint="eastAsia"/>
          <w:sz w:val="30"/>
          <w:szCs w:val="30"/>
          <w:u w:color="000000"/>
        </w:rPr>
        <w:t>本条线关联</w:t>
      </w:r>
      <w:r>
        <w:rPr>
          <w:rFonts w:ascii="仿宋_GB2312" w:eastAsia="仿宋_GB2312" w:hAnsi="宋体"/>
          <w:sz w:val="30"/>
          <w:szCs w:val="30"/>
          <w:u w:color="000000"/>
        </w:rPr>
        <w:t>交易提交</w:t>
      </w:r>
      <w:r>
        <w:rPr>
          <w:rFonts w:ascii="仿宋_GB2312" w:eastAsia="仿宋_GB2312" w:hAnsi="宋体" w:hint="eastAsia"/>
          <w:sz w:val="30"/>
          <w:szCs w:val="30"/>
          <w:u w:color="000000"/>
        </w:rPr>
        <w:t>董事会、股东大会等会</w:t>
      </w:r>
      <w:r>
        <w:rPr>
          <w:rFonts w:ascii="仿宋_GB2312" w:eastAsia="仿宋_GB2312" w:hAnsi="宋体" w:hint="eastAsia"/>
          <w:sz w:val="30"/>
          <w:szCs w:val="30"/>
          <w:u w:color="000000"/>
        </w:rPr>
        <w:lastRenderedPageBreak/>
        <w:t>议审议时的汇报工作。</w:t>
      </w:r>
    </w:p>
    <w:p w:rsidR="005C402C" w:rsidRDefault="005C402C" w:rsidP="005C402C">
      <w:pPr>
        <w:adjustRightInd w:val="0"/>
        <w:snapToGrid w:val="0"/>
        <w:spacing w:line="360" w:lineRule="auto"/>
        <w:ind w:firstLineChars="200" w:firstLine="602"/>
        <w:rPr>
          <w:rFonts w:ascii="仿宋_GB2312" w:eastAsia="仿宋_GB2312" w:hAnsi="宋体"/>
          <w:sz w:val="30"/>
          <w:szCs w:val="30"/>
          <w:u w:color="000000"/>
        </w:rPr>
      </w:pPr>
      <w:r>
        <w:rPr>
          <w:rFonts w:ascii="仿宋_GB2312" w:eastAsia="仿宋_GB2312" w:hAnsi="宋体" w:hint="eastAsia"/>
          <w:b/>
          <w:sz w:val="30"/>
          <w:szCs w:val="30"/>
          <w:u w:color="000000"/>
        </w:rPr>
        <w:t>第</w:t>
      </w:r>
      <w:r>
        <w:rPr>
          <w:rFonts w:ascii="仿宋_GB2312" w:eastAsia="仿宋_GB2312" w:hAnsi="宋体"/>
          <w:b/>
          <w:sz w:val="30"/>
          <w:szCs w:val="30"/>
          <w:u w:color="000000"/>
        </w:rPr>
        <w:t>七十条</w:t>
      </w:r>
      <w:r>
        <w:rPr>
          <w:rFonts w:ascii="仿宋_GB2312" w:eastAsia="仿宋_GB2312" w:hAnsi="宋体" w:hint="eastAsia"/>
          <w:sz w:val="30"/>
          <w:szCs w:val="30"/>
          <w:u w:color="000000"/>
        </w:rPr>
        <w:t xml:space="preserve">  总行</w:t>
      </w:r>
      <w:r>
        <w:rPr>
          <w:rFonts w:ascii="仿宋_GB2312" w:eastAsia="仿宋_GB2312" w:hAnsi="宋体"/>
          <w:sz w:val="30"/>
          <w:szCs w:val="30"/>
          <w:u w:color="000000"/>
        </w:rPr>
        <w:t>其他</w:t>
      </w:r>
      <w:r>
        <w:rPr>
          <w:rFonts w:ascii="仿宋_GB2312" w:eastAsia="仿宋_GB2312" w:hAnsi="宋体" w:hint="eastAsia"/>
          <w:sz w:val="30"/>
          <w:szCs w:val="30"/>
          <w:u w:color="000000"/>
        </w:rPr>
        <w:t>业务</w:t>
      </w:r>
      <w:r>
        <w:rPr>
          <w:rFonts w:ascii="仿宋_GB2312" w:eastAsia="仿宋_GB2312" w:hAnsi="宋体"/>
          <w:sz w:val="30"/>
          <w:szCs w:val="30"/>
          <w:u w:color="000000"/>
        </w:rPr>
        <w:t>管理部门</w:t>
      </w:r>
      <w:r>
        <w:rPr>
          <w:rFonts w:ascii="仿宋_GB2312" w:eastAsia="仿宋_GB2312" w:hAnsi="宋体" w:hint="eastAsia"/>
          <w:sz w:val="30"/>
          <w:szCs w:val="30"/>
          <w:u w:color="000000"/>
        </w:rPr>
        <w:t>职责包括：</w:t>
      </w:r>
    </w:p>
    <w:p w:rsidR="005C402C" w:rsidRDefault="005C402C" w:rsidP="005C402C">
      <w:pPr>
        <w:adjustRightInd w:val="0"/>
        <w:snapToGrid w:val="0"/>
        <w:spacing w:line="360" w:lineRule="auto"/>
        <w:ind w:firstLineChars="200" w:firstLine="600"/>
        <w:rPr>
          <w:rFonts w:ascii="仿宋_GB2312" w:eastAsia="仿宋_GB2312" w:hAnsi="宋体"/>
          <w:sz w:val="30"/>
          <w:szCs w:val="30"/>
          <w:u w:color="000000"/>
        </w:rPr>
      </w:pPr>
      <w:r>
        <w:rPr>
          <w:rFonts w:ascii="仿宋_GB2312" w:eastAsia="仿宋_GB2312" w:hAnsi="宋体" w:hint="eastAsia"/>
          <w:sz w:val="30"/>
          <w:szCs w:val="30"/>
          <w:u w:color="000000"/>
        </w:rPr>
        <w:t>（一）负责对本部门牵头</w:t>
      </w:r>
      <w:r>
        <w:rPr>
          <w:rFonts w:ascii="仿宋_GB2312" w:eastAsia="仿宋_GB2312" w:hAnsi="宋体"/>
          <w:sz w:val="30"/>
          <w:szCs w:val="30"/>
          <w:u w:color="000000"/>
        </w:rPr>
        <w:t>管理业务</w:t>
      </w:r>
      <w:r>
        <w:rPr>
          <w:rFonts w:ascii="仿宋_GB2312" w:eastAsia="仿宋_GB2312" w:hAnsi="宋体" w:hint="eastAsia"/>
          <w:sz w:val="30"/>
          <w:szCs w:val="30"/>
          <w:u w:color="000000"/>
        </w:rPr>
        <w:t>相关关联交易进行初审；</w:t>
      </w:r>
    </w:p>
    <w:p w:rsidR="005C402C" w:rsidRDefault="005C402C" w:rsidP="005C402C">
      <w:pPr>
        <w:adjustRightInd w:val="0"/>
        <w:snapToGrid w:val="0"/>
        <w:spacing w:line="360" w:lineRule="auto"/>
        <w:ind w:firstLineChars="200" w:firstLine="600"/>
        <w:rPr>
          <w:rFonts w:ascii="仿宋_GB2312" w:eastAsia="仿宋_GB2312" w:hAnsi="宋体"/>
          <w:sz w:val="30"/>
          <w:szCs w:val="30"/>
          <w:u w:color="000000"/>
        </w:rPr>
      </w:pPr>
      <w:r>
        <w:rPr>
          <w:rFonts w:ascii="仿宋_GB2312" w:eastAsia="仿宋_GB2312" w:hAnsi="宋体" w:hint="eastAsia"/>
          <w:sz w:val="30"/>
          <w:szCs w:val="30"/>
          <w:u w:color="000000"/>
        </w:rPr>
        <w:t>（二）配合</w:t>
      </w:r>
      <w:r>
        <w:rPr>
          <w:rFonts w:ascii="仿宋_GB2312" w:eastAsia="仿宋_GB2312" w:hAnsi="宋体"/>
          <w:sz w:val="30"/>
          <w:szCs w:val="30"/>
          <w:u w:color="000000"/>
        </w:rPr>
        <w:t>做好</w:t>
      </w:r>
      <w:r>
        <w:rPr>
          <w:rFonts w:ascii="仿宋_GB2312" w:eastAsia="仿宋_GB2312" w:hAnsi="宋体" w:hint="eastAsia"/>
          <w:sz w:val="30"/>
          <w:szCs w:val="30"/>
          <w:u w:color="000000"/>
        </w:rPr>
        <w:t>本部门牵头</w:t>
      </w:r>
      <w:r>
        <w:rPr>
          <w:rFonts w:ascii="仿宋_GB2312" w:eastAsia="仿宋_GB2312" w:hAnsi="宋体"/>
          <w:sz w:val="30"/>
          <w:szCs w:val="30"/>
          <w:u w:color="000000"/>
        </w:rPr>
        <w:t>管理业务相关关联交易提交</w:t>
      </w:r>
      <w:r>
        <w:rPr>
          <w:rFonts w:ascii="仿宋_GB2312" w:eastAsia="仿宋_GB2312" w:hAnsi="宋体" w:hint="eastAsia"/>
          <w:sz w:val="30"/>
          <w:szCs w:val="30"/>
          <w:u w:color="000000"/>
        </w:rPr>
        <w:t>董事会、股东大会等会议审议时的汇报工作。</w:t>
      </w:r>
    </w:p>
    <w:p w:rsidR="005C402C" w:rsidRDefault="005C402C" w:rsidP="005C402C">
      <w:pPr>
        <w:adjustRightInd w:val="0"/>
        <w:snapToGrid w:val="0"/>
        <w:spacing w:line="360" w:lineRule="auto"/>
        <w:ind w:firstLineChars="200" w:firstLine="602"/>
        <w:rPr>
          <w:rFonts w:ascii="仿宋_GB2312" w:eastAsia="仿宋_GB2312" w:hAnsi="宋体"/>
          <w:sz w:val="30"/>
          <w:szCs w:val="30"/>
          <w:u w:color="000000"/>
        </w:rPr>
      </w:pPr>
      <w:r>
        <w:rPr>
          <w:rFonts w:ascii="仿宋_GB2312" w:eastAsia="仿宋_GB2312" w:hAnsi="宋体" w:hint="eastAsia"/>
          <w:b/>
          <w:sz w:val="30"/>
          <w:szCs w:val="30"/>
          <w:u w:color="000000"/>
        </w:rPr>
        <w:t>第七十一条</w:t>
      </w:r>
      <w:r>
        <w:rPr>
          <w:rFonts w:ascii="仿宋_GB2312" w:eastAsia="仿宋_GB2312" w:hAnsi="宋体" w:hint="eastAsia"/>
          <w:sz w:val="30"/>
          <w:szCs w:val="30"/>
          <w:u w:color="000000"/>
        </w:rPr>
        <w:t xml:space="preserve">  产品</w:t>
      </w:r>
      <w:r>
        <w:rPr>
          <w:rFonts w:ascii="仿宋_GB2312" w:eastAsia="仿宋_GB2312" w:hAnsi="宋体"/>
          <w:sz w:val="30"/>
          <w:szCs w:val="30"/>
          <w:u w:color="000000"/>
        </w:rPr>
        <w:t>发起部门负责</w:t>
      </w:r>
      <w:r>
        <w:rPr>
          <w:rFonts w:ascii="仿宋_GB2312" w:eastAsia="仿宋_GB2312" w:hAnsi="宋体" w:hint="eastAsia"/>
          <w:sz w:val="30"/>
          <w:szCs w:val="30"/>
          <w:u w:color="000000"/>
        </w:rPr>
        <w:t>通过完善</w:t>
      </w:r>
      <w:r>
        <w:rPr>
          <w:rFonts w:ascii="仿宋_GB2312" w:eastAsia="仿宋_GB2312" w:hAnsi="宋体"/>
          <w:sz w:val="30"/>
          <w:szCs w:val="30"/>
          <w:u w:color="000000"/>
        </w:rPr>
        <w:t>产品模型、规则、策略等</w:t>
      </w:r>
      <w:r>
        <w:rPr>
          <w:rFonts w:ascii="仿宋_GB2312" w:eastAsia="仿宋_GB2312" w:hAnsi="宋体" w:hint="eastAsia"/>
          <w:sz w:val="30"/>
          <w:szCs w:val="30"/>
          <w:u w:color="000000"/>
        </w:rPr>
        <w:t>，</w:t>
      </w:r>
      <w:r>
        <w:rPr>
          <w:rFonts w:ascii="仿宋_GB2312" w:eastAsia="仿宋_GB2312" w:hAnsi="宋体"/>
          <w:sz w:val="30"/>
          <w:szCs w:val="30"/>
          <w:u w:color="000000"/>
        </w:rPr>
        <w:t>落实</w:t>
      </w:r>
      <w:r>
        <w:rPr>
          <w:rFonts w:ascii="仿宋_GB2312" w:eastAsia="仿宋_GB2312" w:hAnsi="宋体" w:hint="eastAsia"/>
          <w:sz w:val="30"/>
          <w:szCs w:val="30"/>
          <w:u w:color="000000"/>
        </w:rPr>
        <w:t>关联交易</w:t>
      </w:r>
      <w:r>
        <w:rPr>
          <w:rFonts w:ascii="仿宋_GB2312" w:eastAsia="仿宋_GB2312" w:hAnsi="宋体"/>
          <w:sz w:val="30"/>
          <w:szCs w:val="30"/>
          <w:u w:color="000000"/>
        </w:rPr>
        <w:t>管控要求。</w:t>
      </w:r>
    </w:p>
    <w:p w:rsidR="005C402C" w:rsidRDefault="005C402C" w:rsidP="005C402C">
      <w:pPr>
        <w:adjustRightInd w:val="0"/>
        <w:snapToGrid w:val="0"/>
        <w:spacing w:line="360" w:lineRule="auto"/>
        <w:ind w:firstLineChars="200" w:firstLine="602"/>
        <w:rPr>
          <w:rFonts w:ascii="仿宋_GB2312" w:eastAsia="仿宋_GB2312" w:hAnsi="宋体"/>
          <w:sz w:val="30"/>
          <w:szCs w:val="30"/>
          <w:u w:color="000000"/>
        </w:rPr>
      </w:pPr>
      <w:r>
        <w:rPr>
          <w:rFonts w:ascii="仿宋_GB2312" w:eastAsia="仿宋_GB2312" w:hAnsi="宋体" w:hint="eastAsia"/>
          <w:b/>
          <w:sz w:val="30"/>
          <w:szCs w:val="30"/>
          <w:u w:color="000000"/>
        </w:rPr>
        <w:t>第七十二</w:t>
      </w:r>
      <w:r>
        <w:rPr>
          <w:rFonts w:ascii="仿宋_GB2312" w:eastAsia="仿宋_GB2312" w:hAnsi="宋体"/>
          <w:b/>
          <w:sz w:val="30"/>
          <w:szCs w:val="30"/>
          <w:u w:color="000000"/>
        </w:rPr>
        <w:t>条</w:t>
      </w:r>
      <w:r>
        <w:rPr>
          <w:rFonts w:ascii="仿宋_GB2312" w:eastAsia="仿宋_GB2312" w:hAnsi="宋体" w:hint="eastAsia"/>
          <w:sz w:val="30"/>
          <w:szCs w:val="30"/>
          <w:u w:color="000000"/>
        </w:rPr>
        <w:t xml:space="preserve">  </w:t>
      </w:r>
      <w:r>
        <w:rPr>
          <w:rFonts w:ascii="仿宋_GB2312" w:eastAsia="仿宋_GB2312" w:hAnsi="宋体"/>
          <w:sz w:val="30"/>
          <w:szCs w:val="30"/>
          <w:u w:color="000000"/>
        </w:rPr>
        <w:t>总行合</w:t>
      </w:r>
      <w:r>
        <w:rPr>
          <w:rFonts w:ascii="仿宋_GB2312" w:eastAsia="仿宋_GB2312" w:hAnsi="宋体" w:hint="eastAsia"/>
          <w:sz w:val="30"/>
          <w:szCs w:val="30"/>
          <w:u w:color="000000"/>
        </w:rPr>
        <w:t>规及消费者权益管理部负责对本行关联交易管理中的法律与合规问题提供支持。</w:t>
      </w:r>
    </w:p>
    <w:p w:rsidR="005C402C" w:rsidRDefault="005C402C" w:rsidP="005C402C">
      <w:pPr>
        <w:adjustRightInd w:val="0"/>
        <w:snapToGrid w:val="0"/>
        <w:spacing w:line="360" w:lineRule="auto"/>
        <w:ind w:firstLineChars="200" w:firstLine="602"/>
        <w:rPr>
          <w:rFonts w:ascii="仿宋_GB2312" w:eastAsia="仿宋_GB2312" w:hAnsi="宋体"/>
          <w:sz w:val="30"/>
          <w:szCs w:val="30"/>
          <w:u w:color="000000"/>
        </w:rPr>
      </w:pPr>
      <w:r>
        <w:rPr>
          <w:rFonts w:ascii="仿宋_GB2312" w:eastAsia="仿宋_GB2312" w:hAnsi="宋体" w:hint="eastAsia"/>
          <w:b/>
          <w:sz w:val="30"/>
          <w:szCs w:val="30"/>
          <w:u w:color="000000"/>
        </w:rPr>
        <w:t>第七十三条</w:t>
      </w:r>
      <w:r>
        <w:rPr>
          <w:rFonts w:ascii="仿宋_GB2312" w:eastAsia="仿宋_GB2312" w:hAnsi="宋体" w:hint="eastAsia"/>
          <w:sz w:val="30"/>
          <w:szCs w:val="30"/>
          <w:u w:color="000000"/>
        </w:rPr>
        <w:t xml:space="preserve">  总行信贷管理部职责包括：</w:t>
      </w:r>
    </w:p>
    <w:p w:rsidR="005C402C" w:rsidRDefault="005C402C" w:rsidP="005C402C">
      <w:pPr>
        <w:adjustRightInd w:val="0"/>
        <w:snapToGrid w:val="0"/>
        <w:spacing w:line="360" w:lineRule="auto"/>
        <w:ind w:firstLineChars="200" w:firstLine="600"/>
        <w:rPr>
          <w:rFonts w:ascii="仿宋_GB2312" w:eastAsia="仿宋_GB2312" w:hAnsi="宋体"/>
          <w:sz w:val="30"/>
          <w:szCs w:val="30"/>
          <w:u w:color="000000"/>
        </w:rPr>
      </w:pPr>
      <w:r>
        <w:rPr>
          <w:rFonts w:ascii="仿宋_GB2312" w:eastAsia="仿宋_GB2312" w:hAnsi="宋体" w:hint="eastAsia"/>
          <w:sz w:val="30"/>
          <w:szCs w:val="30"/>
          <w:u w:color="000000"/>
        </w:rPr>
        <w:t>（一）负责督导落实信贷类关联交易业务的日常管理；</w:t>
      </w:r>
    </w:p>
    <w:p w:rsidR="005C402C" w:rsidRDefault="005C402C" w:rsidP="005C402C">
      <w:pPr>
        <w:adjustRightInd w:val="0"/>
        <w:snapToGrid w:val="0"/>
        <w:spacing w:line="360" w:lineRule="auto"/>
        <w:ind w:firstLineChars="200" w:firstLine="600"/>
        <w:rPr>
          <w:rFonts w:ascii="仿宋_GB2312" w:eastAsia="仿宋_GB2312" w:hAnsi="宋体"/>
          <w:sz w:val="30"/>
          <w:szCs w:val="30"/>
          <w:u w:color="000000"/>
        </w:rPr>
      </w:pPr>
      <w:r>
        <w:rPr>
          <w:rFonts w:ascii="仿宋_GB2312" w:eastAsia="仿宋_GB2312" w:hAnsi="宋体" w:hint="eastAsia"/>
          <w:sz w:val="30"/>
          <w:szCs w:val="30"/>
          <w:u w:color="000000"/>
        </w:rPr>
        <w:t>（二）根据关联交易业务需求，配合做好涉及信贷与投资管理系统相关功能的需求审核。</w:t>
      </w:r>
    </w:p>
    <w:p w:rsidR="005C402C" w:rsidRDefault="005C402C" w:rsidP="005C402C">
      <w:pPr>
        <w:adjustRightInd w:val="0"/>
        <w:snapToGrid w:val="0"/>
        <w:spacing w:line="360" w:lineRule="auto"/>
        <w:ind w:firstLineChars="200" w:firstLine="602"/>
        <w:rPr>
          <w:rFonts w:ascii="仿宋_GB2312" w:eastAsia="仿宋_GB2312" w:hAnsi="宋体"/>
          <w:sz w:val="30"/>
          <w:szCs w:val="30"/>
          <w:u w:color="000000"/>
        </w:rPr>
      </w:pPr>
      <w:r>
        <w:rPr>
          <w:rFonts w:ascii="仿宋_GB2312" w:eastAsia="仿宋_GB2312" w:hAnsi="宋体" w:hint="eastAsia"/>
          <w:b/>
          <w:sz w:val="30"/>
          <w:szCs w:val="30"/>
          <w:u w:color="000000"/>
        </w:rPr>
        <w:t>第七十四条</w:t>
      </w:r>
      <w:r>
        <w:rPr>
          <w:rFonts w:ascii="仿宋_GB2312" w:eastAsia="仿宋_GB2312" w:hAnsi="宋体" w:hint="eastAsia"/>
          <w:sz w:val="30"/>
          <w:szCs w:val="30"/>
          <w:u w:color="000000"/>
        </w:rPr>
        <w:t xml:space="preserve">  总行科技信息部负责根据管理需要开发关联交易管理相关系统功能及日常维护。      </w:t>
      </w:r>
    </w:p>
    <w:p w:rsidR="005C402C" w:rsidRDefault="005C402C" w:rsidP="005C402C">
      <w:pPr>
        <w:pStyle w:val="ae"/>
        <w:widowControl w:val="0"/>
        <w:adjustRightInd w:val="0"/>
        <w:snapToGrid w:val="0"/>
        <w:spacing w:before="0" w:after="0" w:line="360" w:lineRule="auto"/>
        <w:ind w:firstLineChars="200" w:firstLine="602"/>
        <w:rPr>
          <w:rFonts w:ascii="仿宋_GB2312" w:eastAsia="仿宋_GB2312" w:hAnsi="宋体"/>
          <w:color w:val="auto"/>
          <w:sz w:val="30"/>
          <w:szCs w:val="30"/>
        </w:rPr>
      </w:pPr>
      <w:r>
        <w:rPr>
          <w:rFonts w:ascii="仿宋_GB2312" w:eastAsia="仿宋_GB2312" w:hAnsi="宋体" w:hint="eastAsia"/>
          <w:b/>
          <w:color w:val="auto"/>
          <w:sz w:val="30"/>
          <w:szCs w:val="30"/>
        </w:rPr>
        <w:t xml:space="preserve">第七十五条  </w:t>
      </w:r>
      <w:r>
        <w:rPr>
          <w:rFonts w:ascii="仿宋_GB2312" w:eastAsia="仿宋_GB2312" w:hAnsi="宋体" w:hint="eastAsia"/>
          <w:color w:val="auto"/>
          <w:sz w:val="30"/>
          <w:szCs w:val="30"/>
        </w:rPr>
        <w:t>总行</w:t>
      </w:r>
      <w:r>
        <w:rPr>
          <w:rFonts w:ascii="仿宋_GB2312" w:eastAsia="仿宋_GB2312" w:hAnsi="宋体"/>
          <w:color w:val="auto"/>
          <w:sz w:val="30"/>
          <w:szCs w:val="30"/>
        </w:rPr>
        <w:t>风险管理部</w:t>
      </w:r>
      <w:r>
        <w:rPr>
          <w:rFonts w:ascii="仿宋_GB2312" w:eastAsia="仿宋_GB2312" w:hAnsi="宋体" w:hint="eastAsia"/>
          <w:color w:val="auto"/>
          <w:sz w:val="30"/>
          <w:szCs w:val="30"/>
        </w:rPr>
        <w:t>负责</w:t>
      </w:r>
      <w:r>
        <w:rPr>
          <w:rFonts w:ascii="仿宋_GB2312" w:eastAsia="仿宋_GB2312" w:hAnsi="宋体"/>
          <w:color w:val="auto"/>
          <w:sz w:val="30"/>
          <w:szCs w:val="30"/>
        </w:rPr>
        <w:t>对关联集中度指标进行</w:t>
      </w:r>
      <w:r>
        <w:rPr>
          <w:rFonts w:ascii="仿宋_GB2312" w:eastAsia="仿宋_GB2312" w:hAnsi="宋体" w:hint="eastAsia"/>
          <w:color w:val="auto"/>
          <w:sz w:val="30"/>
          <w:szCs w:val="30"/>
        </w:rPr>
        <w:t>风险</w:t>
      </w:r>
      <w:r>
        <w:rPr>
          <w:rFonts w:ascii="仿宋_GB2312" w:eastAsia="仿宋_GB2312" w:hAnsi="宋体"/>
          <w:color w:val="auto"/>
          <w:sz w:val="30"/>
          <w:szCs w:val="30"/>
        </w:rPr>
        <w:t>监测。</w:t>
      </w:r>
    </w:p>
    <w:p w:rsidR="005C402C" w:rsidRDefault="005C402C" w:rsidP="005C402C">
      <w:pPr>
        <w:adjustRightInd w:val="0"/>
        <w:snapToGrid w:val="0"/>
        <w:spacing w:line="360" w:lineRule="auto"/>
        <w:ind w:firstLineChars="200" w:firstLine="602"/>
        <w:rPr>
          <w:rFonts w:ascii="仿宋_GB2312" w:eastAsia="仿宋_GB2312" w:hAnsi="宋体"/>
          <w:sz w:val="30"/>
          <w:szCs w:val="30"/>
          <w:u w:color="000000"/>
        </w:rPr>
      </w:pPr>
      <w:r>
        <w:rPr>
          <w:rFonts w:ascii="仿宋_GB2312" w:eastAsia="仿宋_GB2312" w:hAnsi="宋体" w:hint="eastAsia"/>
          <w:b/>
          <w:sz w:val="30"/>
          <w:szCs w:val="30"/>
          <w:u w:color="000000"/>
        </w:rPr>
        <w:t>第七十六条</w:t>
      </w:r>
      <w:r>
        <w:rPr>
          <w:rFonts w:ascii="仿宋_GB2312" w:eastAsia="仿宋_GB2312" w:hAnsi="宋体" w:hint="eastAsia"/>
          <w:sz w:val="30"/>
          <w:szCs w:val="30"/>
          <w:u w:color="000000"/>
        </w:rPr>
        <w:t xml:space="preserve">  总行审计稽核部负责对本行关联交易管理情况进行审计，并向董事会和监事会报告审计结果。</w:t>
      </w:r>
    </w:p>
    <w:p w:rsidR="005C402C" w:rsidRDefault="005C402C" w:rsidP="005C402C">
      <w:pPr>
        <w:adjustRightInd w:val="0"/>
        <w:snapToGrid w:val="0"/>
        <w:spacing w:line="360" w:lineRule="auto"/>
        <w:ind w:firstLineChars="200" w:firstLine="602"/>
        <w:rPr>
          <w:rFonts w:ascii="仿宋_GB2312" w:eastAsia="仿宋_GB2312" w:hAnsi="宋体"/>
          <w:sz w:val="30"/>
          <w:szCs w:val="30"/>
          <w:u w:color="000000"/>
        </w:rPr>
      </w:pPr>
      <w:r>
        <w:rPr>
          <w:rFonts w:ascii="仿宋_GB2312" w:eastAsia="仿宋_GB2312" w:hAnsi="宋体" w:hint="eastAsia"/>
          <w:b/>
          <w:sz w:val="30"/>
          <w:szCs w:val="30"/>
          <w:u w:color="000000"/>
        </w:rPr>
        <w:t>第七十七条</w:t>
      </w:r>
      <w:r>
        <w:rPr>
          <w:rFonts w:ascii="仿宋_GB2312" w:eastAsia="仿宋_GB2312" w:hAnsi="宋体" w:hint="eastAsia"/>
          <w:sz w:val="30"/>
          <w:szCs w:val="30"/>
          <w:u w:color="000000"/>
        </w:rPr>
        <w:t xml:space="preserve">  各分（支）行职责包括：</w:t>
      </w:r>
    </w:p>
    <w:p w:rsidR="005C402C" w:rsidRDefault="005C402C" w:rsidP="005C402C">
      <w:pPr>
        <w:adjustRightInd w:val="0"/>
        <w:snapToGrid w:val="0"/>
        <w:spacing w:line="360" w:lineRule="auto"/>
        <w:ind w:firstLineChars="200" w:firstLine="600"/>
        <w:rPr>
          <w:rFonts w:ascii="仿宋_GB2312" w:eastAsia="仿宋_GB2312" w:hAnsi="宋体"/>
          <w:sz w:val="30"/>
          <w:szCs w:val="30"/>
          <w:u w:color="000000"/>
        </w:rPr>
      </w:pPr>
      <w:r>
        <w:rPr>
          <w:rFonts w:ascii="仿宋_GB2312" w:eastAsia="仿宋_GB2312" w:hAnsi="宋体" w:hint="eastAsia"/>
          <w:sz w:val="30"/>
          <w:szCs w:val="30"/>
          <w:u w:color="000000"/>
        </w:rPr>
        <w:t>（一）按照</w:t>
      </w:r>
      <w:r>
        <w:rPr>
          <w:rFonts w:ascii="仿宋_GB2312" w:eastAsia="仿宋_GB2312" w:hAnsi="宋体"/>
          <w:sz w:val="30"/>
          <w:szCs w:val="30"/>
          <w:u w:color="000000"/>
        </w:rPr>
        <w:t>本办法第三章</w:t>
      </w:r>
      <w:r>
        <w:rPr>
          <w:rFonts w:ascii="仿宋_GB2312" w:eastAsia="仿宋_GB2312" w:hAnsi="宋体" w:hint="eastAsia"/>
          <w:sz w:val="30"/>
          <w:szCs w:val="30"/>
          <w:u w:color="000000"/>
        </w:rPr>
        <w:t>规定</w:t>
      </w:r>
      <w:r>
        <w:rPr>
          <w:rFonts w:ascii="仿宋_GB2312" w:eastAsia="仿宋_GB2312" w:hAnsi="宋体"/>
          <w:sz w:val="30"/>
          <w:szCs w:val="30"/>
          <w:u w:color="000000"/>
        </w:rPr>
        <w:t>，</w:t>
      </w:r>
      <w:r>
        <w:rPr>
          <w:rFonts w:ascii="仿宋_GB2312" w:eastAsia="仿宋_GB2312" w:hAnsi="宋体" w:hint="eastAsia"/>
          <w:sz w:val="30"/>
          <w:szCs w:val="30"/>
          <w:u w:color="000000"/>
        </w:rPr>
        <w:t>负责</w:t>
      </w:r>
      <w:r>
        <w:rPr>
          <w:rFonts w:ascii="仿宋_GB2312" w:eastAsia="仿宋_GB2312" w:hAnsi="宋体"/>
          <w:sz w:val="30"/>
          <w:szCs w:val="30"/>
          <w:u w:color="000000"/>
        </w:rPr>
        <w:t>职责范围内关联方信息的</w:t>
      </w:r>
      <w:r>
        <w:rPr>
          <w:rFonts w:ascii="仿宋_GB2312" w:eastAsia="仿宋_GB2312" w:hAnsi="宋体" w:hint="eastAsia"/>
          <w:sz w:val="30"/>
          <w:szCs w:val="30"/>
          <w:u w:color="000000"/>
        </w:rPr>
        <w:t>收集</w:t>
      </w:r>
      <w:r>
        <w:rPr>
          <w:rFonts w:ascii="仿宋_GB2312" w:eastAsia="仿宋_GB2312" w:hAnsi="宋体"/>
          <w:sz w:val="30"/>
          <w:szCs w:val="30"/>
          <w:u w:color="000000"/>
        </w:rPr>
        <w:t>和更新；</w:t>
      </w:r>
    </w:p>
    <w:p w:rsidR="005C402C" w:rsidRDefault="005C402C" w:rsidP="005C402C">
      <w:pPr>
        <w:adjustRightInd w:val="0"/>
        <w:snapToGrid w:val="0"/>
        <w:spacing w:line="360" w:lineRule="auto"/>
        <w:ind w:firstLineChars="200" w:firstLine="600"/>
        <w:rPr>
          <w:rFonts w:ascii="仿宋_GB2312" w:eastAsia="仿宋_GB2312" w:hAnsi="宋体"/>
          <w:sz w:val="30"/>
          <w:szCs w:val="30"/>
          <w:u w:color="000000"/>
        </w:rPr>
      </w:pPr>
      <w:r>
        <w:rPr>
          <w:rFonts w:ascii="仿宋_GB2312" w:eastAsia="仿宋_GB2312" w:hAnsi="宋体" w:hint="eastAsia"/>
          <w:sz w:val="30"/>
          <w:szCs w:val="30"/>
          <w:u w:color="000000"/>
        </w:rPr>
        <w:t>（二）按照授信申报主体要求，做好本机构涉及的关联方授信申报；</w:t>
      </w:r>
    </w:p>
    <w:p w:rsidR="005C402C" w:rsidRDefault="005C402C" w:rsidP="005C402C">
      <w:pPr>
        <w:adjustRightInd w:val="0"/>
        <w:snapToGrid w:val="0"/>
        <w:spacing w:line="360" w:lineRule="auto"/>
        <w:ind w:firstLineChars="200" w:firstLine="600"/>
        <w:rPr>
          <w:rFonts w:ascii="仿宋_GB2312" w:eastAsia="仿宋_GB2312" w:hAnsi="宋体"/>
          <w:sz w:val="30"/>
          <w:szCs w:val="30"/>
          <w:u w:color="000000"/>
        </w:rPr>
      </w:pPr>
      <w:r>
        <w:rPr>
          <w:rFonts w:ascii="仿宋_GB2312" w:eastAsia="仿宋_GB2312" w:hAnsi="宋体" w:hint="eastAsia"/>
          <w:sz w:val="30"/>
          <w:szCs w:val="30"/>
          <w:u w:color="000000"/>
        </w:rPr>
        <w:lastRenderedPageBreak/>
        <w:t>（三）在各项业务实施前对是否属于关联交易进行识别，对属于关联交易的业务按</w:t>
      </w:r>
      <w:r>
        <w:rPr>
          <w:rFonts w:ascii="仿宋_GB2312" w:eastAsia="仿宋_GB2312" w:hAnsi="宋体"/>
          <w:sz w:val="30"/>
          <w:szCs w:val="30"/>
          <w:u w:color="000000"/>
        </w:rPr>
        <w:t>规定发起申报流程；</w:t>
      </w:r>
    </w:p>
    <w:p w:rsidR="005C402C" w:rsidRDefault="005C402C" w:rsidP="005C402C">
      <w:pPr>
        <w:adjustRightInd w:val="0"/>
        <w:snapToGrid w:val="0"/>
        <w:spacing w:line="360" w:lineRule="auto"/>
        <w:ind w:firstLineChars="200" w:firstLine="600"/>
        <w:rPr>
          <w:rFonts w:ascii="仿宋_GB2312" w:eastAsia="仿宋_GB2312" w:hAnsi="宋体"/>
          <w:sz w:val="30"/>
          <w:szCs w:val="30"/>
          <w:u w:color="000000"/>
        </w:rPr>
      </w:pPr>
      <w:r>
        <w:rPr>
          <w:rFonts w:ascii="仿宋_GB2312" w:eastAsia="仿宋_GB2312" w:hAnsi="宋体" w:hint="eastAsia"/>
          <w:sz w:val="30"/>
          <w:szCs w:val="30"/>
          <w:u w:color="000000"/>
        </w:rPr>
        <w:t>（四）在业务过程中持续对关联方信息进行收集，准确、完整地录入相关系统并及时更新。</w:t>
      </w:r>
    </w:p>
    <w:p w:rsidR="005C402C" w:rsidRDefault="005C402C" w:rsidP="005C402C">
      <w:pPr>
        <w:pStyle w:val="1"/>
        <w:numPr>
          <w:ilvl w:val="0"/>
          <w:numId w:val="0"/>
        </w:numPr>
        <w:adjustRightInd w:val="0"/>
        <w:snapToGrid w:val="0"/>
        <w:spacing w:after="0" w:line="360" w:lineRule="auto"/>
        <w:jc w:val="center"/>
        <w:rPr>
          <w:rFonts w:ascii="仿宋_GB2312" w:eastAsia="仿宋_GB2312"/>
          <w:sz w:val="30"/>
          <w:szCs w:val="30"/>
          <w:lang w:eastAsia="zh-CN"/>
        </w:rPr>
      </w:pPr>
      <w:bookmarkStart w:id="39" w:name="_Toc198024385"/>
      <w:bookmarkStart w:id="40" w:name="_Toc20055727"/>
      <w:r>
        <w:rPr>
          <w:rFonts w:ascii="仿宋_GB2312" w:eastAsia="仿宋_GB2312" w:hint="eastAsia"/>
          <w:sz w:val="30"/>
          <w:szCs w:val="30"/>
          <w:lang w:eastAsia="zh-CN"/>
        </w:rPr>
        <w:t>第九章</w:t>
      </w:r>
      <w:r>
        <w:rPr>
          <w:rFonts w:ascii="仿宋_GB2312" w:eastAsia="仿宋_GB2312"/>
          <w:sz w:val="30"/>
          <w:szCs w:val="30"/>
          <w:lang w:eastAsia="zh-CN"/>
        </w:rPr>
        <w:t xml:space="preserve"> </w:t>
      </w:r>
      <w:bookmarkEnd w:id="39"/>
      <w:bookmarkEnd w:id="40"/>
      <w:r>
        <w:rPr>
          <w:rFonts w:ascii="仿宋_GB2312" w:eastAsia="仿宋_GB2312" w:hint="eastAsia"/>
          <w:sz w:val="30"/>
          <w:szCs w:val="30"/>
          <w:lang w:eastAsia="zh-CN"/>
        </w:rPr>
        <w:t>罚则</w:t>
      </w:r>
    </w:p>
    <w:p w:rsidR="005C402C" w:rsidRDefault="005C402C" w:rsidP="005C402C">
      <w:pPr>
        <w:pStyle w:val="ae"/>
        <w:widowControl w:val="0"/>
        <w:tabs>
          <w:tab w:val="left" w:pos="2410"/>
          <w:tab w:val="left" w:pos="2807"/>
        </w:tabs>
        <w:adjustRightInd w:val="0"/>
        <w:snapToGrid w:val="0"/>
        <w:spacing w:before="0" w:after="0" w:line="360" w:lineRule="auto"/>
        <w:ind w:firstLineChars="200" w:firstLine="602"/>
        <w:jc w:val="both"/>
        <w:rPr>
          <w:rFonts w:ascii="仿宋_GB2312" w:eastAsia="仿宋_GB2312" w:hAnsi="宋体"/>
          <w:sz w:val="30"/>
          <w:szCs w:val="30"/>
        </w:rPr>
      </w:pPr>
      <w:r>
        <w:rPr>
          <w:rFonts w:ascii="仿宋_GB2312" w:eastAsia="仿宋_GB2312" w:hAnsi="宋体" w:hint="eastAsia"/>
          <w:b/>
          <w:sz w:val="30"/>
          <w:szCs w:val="30"/>
        </w:rPr>
        <w:t>第七十八条</w:t>
      </w:r>
      <w:r>
        <w:rPr>
          <w:rFonts w:ascii="仿宋_GB2312" w:eastAsia="仿宋_GB2312" w:hAnsi="宋体" w:hint="eastAsia"/>
          <w:sz w:val="30"/>
          <w:szCs w:val="30"/>
        </w:rPr>
        <w:t xml:space="preserve">  如发生以下情形，应按照本行相关规定对责任人进行处理：</w:t>
      </w:r>
    </w:p>
    <w:p w:rsidR="005C402C" w:rsidRDefault="005C402C" w:rsidP="005C402C">
      <w:pPr>
        <w:adjustRightInd w:val="0"/>
        <w:snapToGrid w:val="0"/>
        <w:spacing w:line="360" w:lineRule="auto"/>
        <w:ind w:firstLineChars="200" w:firstLine="600"/>
        <w:rPr>
          <w:rFonts w:ascii="仿宋_GB2312" w:eastAsia="仿宋_GB2312" w:hAnsi="宋体"/>
          <w:sz w:val="30"/>
          <w:szCs w:val="30"/>
          <w:u w:color="000000"/>
        </w:rPr>
      </w:pPr>
      <w:r>
        <w:rPr>
          <w:rFonts w:ascii="仿宋_GB2312" w:eastAsia="仿宋_GB2312" w:hAnsi="宋体" w:hint="eastAsia"/>
          <w:sz w:val="30"/>
          <w:szCs w:val="30"/>
          <w:u w:color="000000"/>
        </w:rPr>
        <w:t>（一）未按照审批程序进行关联交易审核和上报审批的；</w:t>
      </w:r>
    </w:p>
    <w:p w:rsidR="005C402C" w:rsidRDefault="005C402C" w:rsidP="005C402C">
      <w:pPr>
        <w:adjustRightInd w:val="0"/>
        <w:snapToGrid w:val="0"/>
        <w:spacing w:line="360" w:lineRule="auto"/>
        <w:ind w:firstLineChars="200" w:firstLine="600"/>
        <w:rPr>
          <w:rFonts w:ascii="仿宋_GB2312" w:eastAsia="仿宋_GB2312" w:hAnsi="宋体"/>
          <w:sz w:val="30"/>
          <w:szCs w:val="30"/>
          <w:u w:color="000000"/>
        </w:rPr>
      </w:pPr>
      <w:r>
        <w:rPr>
          <w:rFonts w:ascii="仿宋_GB2312" w:eastAsia="仿宋_GB2312" w:hAnsi="宋体" w:hint="eastAsia"/>
          <w:sz w:val="30"/>
          <w:szCs w:val="30"/>
          <w:u w:color="000000"/>
        </w:rPr>
        <w:t>（二）对关联方信息未及时更新的；</w:t>
      </w:r>
    </w:p>
    <w:p w:rsidR="005C402C" w:rsidRDefault="005C402C" w:rsidP="005C402C">
      <w:pPr>
        <w:adjustRightInd w:val="0"/>
        <w:snapToGrid w:val="0"/>
        <w:spacing w:line="360" w:lineRule="auto"/>
        <w:ind w:firstLineChars="200" w:firstLine="600"/>
        <w:rPr>
          <w:rFonts w:ascii="仿宋_GB2312" w:eastAsia="仿宋_GB2312" w:hAnsi="宋体"/>
          <w:sz w:val="30"/>
          <w:szCs w:val="30"/>
          <w:u w:color="000000"/>
        </w:rPr>
      </w:pPr>
      <w:r>
        <w:rPr>
          <w:rFonts w:ascii="仿宋_GB2312" w:eastAsia="仿宋_GB2312" w:hAnsi="宋体" w:hint="eastAsia"/>
          <w:sz w:val="30"/>
          <w:szCs w:val="30"/>
          <w:u w:color="000000"/>
        </w:rPr>
        <w:t>（三）对已发生关联交易信息未及时、准确申报的；</w:t>
      </w:r>
    </w:p>
    <w:p w:rsidR="005C402C" w:rsidRDefault="005C402C" w:rsidP="005C402C">
      <w:pPr>
        <w:adjustRightInd w:val="0"/>
        <w:snapToGrid w:val="0"/>
        <w:spacing w:line="360" w:lineRule="auto"/>
        <w:ind w:firstLineChars="200" w:firstLine="600"/>
        <w:rPr>
          <w:rFonts w:ascii="仿宋_GB2312" w:eastAsia="仿宋_GB2312" w:hAnsi="宋体"/>
          <w:sz w:val="30"/>
          <w:szCs w:val="30"/>
          <w:u w:color="000000"/>
        </w:rPr>
      </w:pPr>
      <w:r>
        <w:rPr>
          <w:rFonts w:ascii="仿宋_GB2312" w:eastAsia="仿宋_GB2312" w:hAnsi="宋体" w:hint="eastAsia"/>
          <w:sz w:val="30"/>
          <w:szCs w:val="30"/>
          <w:u w:color="000000"/>
        </w:rPr>
        <w:t>（四）本行内部人利用职权对经营单位施加压力、故意提供虚假信息、骗取本行信贷资金，造成本行利益遭受重大损失的；</w:t>
      </w:r>
    </w:p>
    <w:p w:rsidR="005C402C" w:rsidRDefault="005C402C" w:rsidP="005C402C">
      <w:pPr>
        <w:adjustRightInd w:val="0"/>
        <w:snapToGrid w:val="0"/>
        <w:spacing w:line="360" w:lineRule="auto"/>
        <w:ind w:firstLineChars="200" w:firstLine="600"/>
        <w:rPr>
          <w:rFonts w:ascii="仿宋_GB2312" w:eastAsia="仿宋_GB2312" w:hAnsi="宋体"/>
          <w:sz w:val="30"/>
          <w:szCs w:val="30"/>
          <w:u w:color="000000"/>
        </w:rPr>
      </w:pPr>
      <w:r>
        <w:rPr>
          <w:rFonts w:ascii="仿宋_GB2312" w:eastAsia="仿宋_GB2312" w:hAnsi="宋体" w:hint="eastAsia"/>
          <w:sz w:val="30"/>
          <w:szCs w:val="30"/>
          <w:u w:color="000000"/>
        </w:rPr>
        <w:t>（五）明知存在关联方情况，仍违反本办法有关审批程序予以授信的；</w:t>
      </w:r>
    </w:p>
    <w:p w:rsidR="005C402C" w:rsidRDefault="005C402C" w:rsidP="005C402C">
      <w:pPr>
        <w:adjustRightInd w:val="0"/>
        <w:snapToGrid w:val="0"/>
        <w:spacing w:line="360" w:lineRule="auto"/>
        <w:ind w:firstLineChars="200" w:firstLine="600"/>
        <w:rPr>
          <w:rFonts w:ascii="仿宋_GB2312" w:eastAsia="仿宋_GB2312" w:hAnsi="宋体"/>
          <w:sz w:val="30"/>
          <w:szCs w:val="30"/>
          <w:u w:color="000000"/>
        </w:rPr>
      </w:pPr>
      <w:r>
        <w:rPr>
          <w:rFonts w:ascii="仿宋_GB2312" w:eastAsia="仿宋_GB2312" w:hAnsi="宋体" w:hint="eastAsia"/>
          <w:sz w:val="30"/>
          <w:szCs w:val="30"/>
          <w:u w:color="000000"/>
        </w:rPr>
        <w:t>（六）发现关联交易很可能发生危及本行资产安全的重大情况或事项，故意隐瞒不报，也不及时采取必要风险控制或保全措施的；</w:t>
      </w:r>
    </w:p>
    <w:p w:rsidR="005C402C" w:rsidRDefault="005C402C" w:rsidP="005C402C">
      <w:pPr>
        <w:adjustRightInd w:val="0"/>
        <w:snapToGrid w:val="0"/>
        <w:spacing w:line="360" w:lineRule="auto"/>
        <w:ind w:firstLineChars="200" w:firstLine="600"/>
        <w:rPr>
          <w:rFonts w:ascii="仿宋_GB2312" w:eastAsia="仿宋_GB2312" w:hAnsi="宋体"/>
          <w:sz w:val="30"/>
          <w:szCs w:val="30"/>
          <w:u w:color="000000"/>
        </w:rPr>
      </w:pPr>
      <w:r>
        <w:rPr>
          <w:rFonts w:ascii="仿宋_GB2312" w:eastAsia="仿宋_GB2312" w:hAnsi="宋体" w:hint="eastAsia"/>
          <w:sz w:val="30"/>
          <w:szCs w:val="30"/>
          <w:u w:color="000000"/>
        </w:rPr>
        <w:t>（七）故意逃避监管部门</w:t>
      </w:r>
      <w:r>
        <w:rPr>
          <w:rFonts w:ascii="仿宋_GB2312" w:eastAsia="仿宋_GB2312" w:hAnsi="宋体"/>
          <w:sz w:val="30"/>
          <w:szCs w:val="30"/>
          <w:u w:color="000000"/>
        </w:rPr>
        <w:t>或本行相关部门根据本办法的监督、检查和监测工作，造成重大不利影响的；</w:t>
      </w:r>
    </w:p>
    <w:p w:rsidR="005C402C" w:rsidRDefault="005C402C" w:rsidP="005C402C">
      <w:pPr>
        <w:adjustRightInd w:val="0"/>
        <w:snapToGrid w:val="0"/>
        <w:spacing w:line="360" w:lineRule="auto"/>
        <w:ind w:firstLineChars="200" w:firstLine="600"/>
        <w:rPr>
          <w:rFonts w:ascii="仿宋_GB2312" w:eastAsia="仿宋_GB2312" w:hAnsi="宋体"/>
          <w:sz w:val="30"/>
          <w:szCs w:val="30"/>
          <w:u w:color="000000"/>
        </w:rPr>
      </w:pPr>
      <w:r>
        <w:rPr>
          <w:rFonts w:ascii="仿宋_GB2312" w:eastAsia="仿宋_GB2312" w:hAnsi="宋体" w:hint="eastAsia"/>
          <w:sz w:val="30"/>
          <w:szCs w:val="30"/>
          <w:u w:color="000000"/>
        </w:rPr>
        <w:t>（八）其他违反相关法律法规及本行制度需要进行处罚的情况。</w:t>
      </w:r>
    </w:p>
    <w:p w:rsidR="005C402C" w:rsidRDefault="005C402C" w:rsidP="005C402C">
      <w:pPr>
        <w:pStyle w:val="1"/>
        <w:numPr>
          <w:ilvl w:val="0"/>
          <w:numId w:val="0"/>
        </w:numPr>
        <w:adjustRightInd w:val="0"/>
        <w:snapToGrid w:val="0"/>
        <w:spacing w:after="0" w:line="360" w:lineRule="auto"/>
        <w:jc w:val="center"/>
        <w:rPr>
          <w:rFonts w:ascii="仿宋_GB2312" w:eastAsia="仿宋_GB2312"/>
          <w:sz w:val="30"/>
          <w:szCs w:val="30"/>
          <w:lang w:eastAsia="zh-CN"/>
        </w:rPr>
      </w:pPr>
      <w:bookmarkStart w:id="41" w:name="_Toc255411856"/>
      <w:bookmarkStart w:id="42" w:name="_Toc20055728"/>
      <w:r>
        <w:rPr>
          <w:rFonts w:ascii="仿宋_GB2312" w:eastAsia="仿宋_GB2312" w:hint="eastAsia"/>
          <w:sz w:val="30"/>
          <w:szCs w:val="30"/>
          <w:lang w:eastAsia="zh-CN"/>
        </w:rPr>
        <w:t>第十章  附则</w:t>
      </w:r>
      <w:bookmarkEnd w:id="41"/>
      <w:bookmarkEnd w:id="42"/>
    </w:p>
    <w:p w:rsidR="005C402C" w:rsidRDefault="005C402C" w:rsidP="005C402C">
      <w:pPr>
        <w:tabs>
          <w:tab w:val="left" w:pos="1520"/>
        </w:tabs>
        <w:adjustRightInd w:val="0"/>
        <w:snapToGrid w:val="0"/>
        <w:spacing w:line="360" w:lineRule="auto"/>
        <w:ind w:firstLineChars="200" w:firstLine="602"/>
        <w:rPr>
          <w:rFonts w:ascii="仿宋_GB2312" w:eastAsia="仿宋_GB2312" w:hAnsi="宋体"/>
          <w:sz w:val="30"/>
          <w:szCs w:val="30"/>
          <w:u w:color="000000"/>
        </w:rPr>
      </w:pPr>
      <w:r>
        <w:rPr>
          <w:rFonts w:ascii="仿宋_GB2312" w:eastAsia="仿宋_GB2312" w:hAnsi="宋体" w:hint="eastAsia"/>
          <w:b/>
          <w:sz w:val="30"/>
          <w:szCs w:val="30"/>
          <w:u w:color="000000"/>
        </w:rPr>
        <w:t>第七十九</w:t>
      </w:r>
      <w:r>
        <w:rPr>
          <w:rFonts w:ascii="仿宋_GB2312" w:eastAsia="仿宋_GB2312" w:hAnsi="宋体"/>
          <w:b/>
          <w:sz w:val="30"/>
          <w:szCs w:val="30"/>
          <w:u w:color="000000"/>
        </w:rPr>
        <w:t>条</w:t>
      </w:r>
      <w:r>
        <w:rPr>
          <w:rFonts w:ascii="仿宋_GB2312" w:eastAsia="仿宋_GB2312" w:hAnsi="宋体" w:hint="eastAsia"/>
          <w:sz w:val="30"/>
          <w:szCs w:val="30"/>
          <w:u w:color="000000"/>
        </w:rPr>
        <w:t xml:space="preserve">  本办法未尽事宜，按照本办法</w:t>
      </w:r>
      <w:r>
        <w:rPr>
          <w:rFonts w:ascii="仿宋_GB2312" w:eastAsia="仿宋_GB2312" w:hAnsi="宋体"/>
          <w:sz w:val="30"/>
          <w:szCs w:val="30"/>
          <w:u w:color="000000"/>
        </w:rPr>
        <w:t>制定依据以及</w:t>
      </w:r>
      <w:r>
        <w:rPr>
          <w:rFonts w:ascii="仿宋_GB2312" w:eastAsia="仿宋_GB2312" w:hAnsi="宋体" w:hint="eastAsia"/>
          <w:sz w:val="30"/>
          <w:szCs w:val="30"/>
          <w:u w:color="000000"/>
        </w:rPr>
        <w:t>本行</w:t>
      </w:r>
      <w:r>
        <w:rPr>
          <w:rFonts w:ascii="仿宋_GB2312" w:eastAsia="仿宋_GB2312" w:hAnsi="宋体"/>
          <w:sz w:val="30"/>
          <w:szCs w:val="30"/>
          <w:u w:color="000000"/>
        </w:rPr>
        <w:t>相关规定执行</w:t>
      </w:r>
      <w:r>
        <w:rPr>
          <w:rFonts w:ascii="仿宋_GB2312" w:eastAsia="仿宋_GB2312" w:hAnsi="宋体" w:hint="eastAsia"/>
          <w:sz w:val="30"/>
          <w:szCs w:val="30"/>
          <w:u w:color="000000"/>
        </w:rPr>
        <w:t>。</w:t>
      </w:r>
    </w:p>
    <w:p w:rsidR="005C402C" w:rsidRDefault="005C402C" w:rsidP="005C402C">
      <w:pPr>
        <w:tabs>
          <w:tab w:val="left" w:pos="1520"/>
        </w:tabs>
        <w:adjustRightInd w:val="0"/>
        <w:snapToGrid w:val="0"/>
        <w:spacing w:line="360" w:lineRule="auto"/>
        <w:ind w:firstLineChars="200" w:firstLine="602"/>
        <w:rPr>
          <w:rFonts w:ascii="仿宋_GB2312" w:eastAsia="仿宋_GB2312" w:hAnsi="宋体"/>
          <w:sz w:val="30"/>
          <w:szCs w:val="30"/>
          <w:u w:color="000000"/>
        </w:rPr>
      </w:pPr>
      <w:r>
        <w:rPr>
          <w:rFonts w:ascii="仿宋_GB2312" w:eastAsia="仿宋_GB2312" w:hAnsi="宋体" w:hint="eastAsia"/>
          <w:b/>
          <w:sz w:val="30"/>
          <w:szCs w:val="30"/>
          <w:u w:color="000000"/>
        </w:rPr>
        <w:lastRenderedPageBreak/>
        <w:t>第八十</w:t>
      </w:r>
      <w:r>
        <w:rPr>
          <w:rFonts w:ascii="仿宋_GB2312" w:eastAsia="仿宋_GB2312" w:hAnsi="宋体"/>
          <w:b/>
          <w:sz w:val="30"/>
          <w:szCs w:val="30"/>
          <w:u w:color="000000"/>
        </w:rPr>
        <w:t>条</w:t>
      </w:r>
      <w:r>
        <w:rPr>
          <w:rFonts w:ascii="仿宋_GB2312" w:eastAsia="仿宋_GB2312" w:hAnsi="宋体" w:hint="eastAsia"/>
          <w:sz w:val="30"/>
          <w:szCs w:val="30"/>
          <w:u w:color="000000"/>
        </w:rPr>
        <w:t xml:space="preserve">  </w:t>
      </w:r>
      <w:r>
        <w:rPr>
          <w:rFonts w:ascii="仿宋_GB2312" w:eastAsia="仿宋_GB2312" w:hAnsi="宋体"/>
          <w:sz w:val="30"/>
          <w:szCs w:val="30"/>
          <w:u w:color="000000"/>
        </w:rPr>
        <w:t>本办法</w:t>
      </w:r>
      <w:r>
        <w:rPr>
          <w:rFonts w:ascii="仿宋_GB2312" w:eastAsia="仿宋_GB2312" w:hAnsi="宋体" w:hint="eastAsia"/>
          <w:sz w:val="30"/>
          <w:szCs w:val="30"/>
          <w:u w:color="000000"/>
        </w:rPr>
        <w:t>由重庆农村商业银行负责解释</w:t>
      </w:r>
      <w:r>
        <w:rPr>
          <w:rFonts w:ascii="仿宋_GB2312" w:eastAsia="仿宋_GB2312" w:hAnsi="宋体"/>
          <w:sz w:val="30"/>
          <w:szCs w:val="30"/>
          <w:u w:color="000000"/>
        </w:rPr>
        <w:t>。</w:t>
      </w:r>
    </w:p>
    <w:p w:rsidR="005C402C" w:rsidRPr="005C402C" w:rsidRDefault="005C402C" w:rsidP="005C402C">
      <w:pPr>
        <w:tabs>
          <w:tab w:val="left" w:pos="1520"/>
        </w:tabs>
        <w:adjustRightInd w:val="0"/>
        <w:snapToGrid w:val="0"/>
        <w:spacing w:line="360" w:lineRule="auto"/>
        <w:ind w:firstLineChars="200" w:firstLine="602"/>
        <w:rPr>
          <w:rFonts w:ascii="仿宋_GB2312" w:eastAsia="仿宋_GB2312" w:hAnsi="宋体"/>
          <w:sz w:val="30"/>
          <w:szCs w:val="30"/>
          <w:u w:color="000000"/>
        </w:rPr>
      </w:pPr>
      <w:r>
        <w:rPr>
          <w:rFonts w:ascii="仿宋_GB2312" w:eastAsia="仿宋_GB2312" w:hAnsi="宋体" w:hint="eastAsia"/>
          <w:b/>
          <w:sz w:val="30"/>
          <w:szCs w:val="30"/>
          <w:u w:color="000000"/>
        </w:rPr>
        <w:t>第八十一</w:t>
      </w:r>
      <w:r>
        <w:rPr>
          <w:rFonts w:ascii="仿宋_GB2312" w:eastAsia="仿宋_GB2312" w:hAnsi="宋体"/>
          <w:b/>
          <w:sz w:val="30"/>
          <w:szCs w:val="30"/>
          <w:u w:color="000000"/>
        </w:rPr>
        <w:t>条</w:t>
      </w:r>
      <w:r>
        <w:rPr>
          <w:rFonts w:ascii="仿宋_GB2312" w:eastAsia="仿宋_GB2312" w:hAnsi="宋体" w:hint="eastAsia"/>
          <w:sz w:val="30"/>
          <w:szCs w:val="30"/>
          <w:u w:color="000000"/>
        </w:rPr>
        <w:t xml:space="preserve">  本办法自印发之日起实施。</w:t>
      </w:r>
    </w:p>
    <w:p w:rsidR="00F43A36" w:rsidRDefault="00061A8A">
      <w:pPr>
        <w:autoSpaceDE w:val="0"/>
        <w:autoSpaceDN w:val="0"/>
        <w:adjustRightInd w:val="0"/>
        <w:spacing w:line="560" w:lineRule="exact"/>
        <w:jc w:val="left"/>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附件</w:t>
      </w:r>
      <w:r>
        <w:rPr>
          <w:rFonts w:ascii="Times New Roman" w:eastAsia="方正仿宋_GBK" w:hAnsi="Times New Roman" w:cs="Times New Roman"/>
          <w:kern w:val="0"/>
          <w:sz w:val="30"/>
          <w:szCs w:val="30"/>
        </w:rPr>
        <w:t>1</w:t>
      </w:r>
      <w:r>
        <w:rPr>
          <w:rFonts w:ascii="Times New Roman" w:eastAsia="方正仿宋_GBK" w:hAnsi="Times New Roman" w:cs="Times New Roman"/>
          <w:kern w:val="0"/>
          <w:sz w:val="30"/>
          <w:szCs w:val="30"/>
        </w:rPr>
        <w:t>：</w:t>
      </w:r>
    </w:p>
    <w:p w:rsidR="00F43A36" w:rsidRDefault="00F43A36">
      <w:pPr>
        <w:autoSpaceDE w:val="0"/>
        <w:autoSpaceDN w:val="0"/>
        <w:adjustRightInd w:val="0"/>
        <w:spacing w:line="560" w:lineRule="exact"/>
        <w:jc w:val="center"/>
        <w:rPr>
          <w:rFonts w:ascii="黑体" w:eastAsia="黑体" w:hAnsi="黑体" w:cs="Times New Roman"/>
          <w:bCs/>
          <w:kern w:val="0"/>
          <w:sz w:val="36"/>
          <w:szCs w:val="36"/>
        </w:rPr>
      </w:pPr>
    </w:p>
    <w:p w:rsidR="00F43A36" w:rsidRDefault="00061A8A">
      <w:pPr>
        <w:autoSpaceDE w:val="0"/>
        <w:autoSpaceDN w:val="0"/>
        <w:adjustRightInd w:val="0"/>
        <w:spacing w:line="560" w:lineRule="exact"/>
        <w:jc w:val="center"/>
        <w:rPr>
          <w:rFonts w:ascii="黑体" w:eastAsia="黑体" w:hAnsi="黑体" w:cs="Times New Roman"/>
          <w:bCs/>
          <w:kern w:val="0"/>
          <w:sz w:val="36"/>
          <w:szCs w:val="36"/>
        </w:rPr>
      </w:pPr>
      <w:r>
        <w:rPr>
          <w:rFonts w:ascii="黑体" w:eastAsia="黑体" w:hAnsi="黑体" w:cs="Times New Roman"/>
          <w:bCs/>
          <w:kern w:val="0"/>
          <w:sz w:val="36"/>
          <w:szCs w:val="36"/>
        </w:rPr>
        <w:t>关联方相关定义</w:t>
      </w:r>
    </w:p>
    <w:p w:rsidR="00F43A36" w:rsidRDefault="00F43A36">
      <w:pPr>
        <w:autoSpaceDE w:val="0"/>
        <w:autoSpaceDN w:val="0"/>
        <w:adjustRightInd w:val="0"/>
        <w:spacing w:line="560" w:lineRule="exact"/>
        <w:ind w:firstLineChars="200" w:firstLine="600"/>
        <w:jc w:val="left"/>
        <w:rPr>
          <w:rFonts w:ascii="黑体" w:eastAsia="黑体" w:hAnsi="黑体" w:cs="Times New Roman"/>
          <w:bCs/>
          <w:kern w:val="0"/>
          <w:sz w:val="30"/>
          <w:szCs w:val="30"/>
        </w:rPr>
      </w:pPr>
    </w:p>
    <w:p w:rsidR="00F43A36" w:rsidRDefault="00061A8A">
      <w:pPr>
        <w:autoSpaceDE w:val="0"/>
        <w:autoSpaceDN w:val="0"/>
        <w:adjustRightInd w:val="0"/>
        <w:spacing w:line="560" w:lineRule="exact"/>
        <w:ind w:firstLineChars="200" w:firstLine="600"/>
        <w:jc w:val="left"/>
        <w:rPr>
          <w:rFonts w:ascii="黑体" w:eastAsia="黑体" w:hAnsi="黑体" w:cs="Times New Roman"/>
          <w:bCs/>
          <w:kern w:val="0"/>
          <w:sz w:val="30"/>
          <w:szCs w:val="30"/>
        </w:rPr>
      </w:pPr>
      <w:r>
        <w:rPr>
          <w:rFonts w:ascii="黑体" w:eastAsia="黑体" w:hAnsi="黑体" w:cs="Times New Roman"/>
          <w:bCs/>
          <w:kern w:val="0"/>
          <w:sz w:val="30"/>
          <w:szCs w:val="30"/>
        </w:rPr>
        <w:t>一、银保监会定义的关联方</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银保监会定义的关联方包括《商业银行与内部人和股东关联交易管理办法》和《商业银行股权管理暂行办法》定义的关联方。</w:t>
      </w:r>
    </w:p>
    <w:p w:rsidR="00F43A36" w:rsidRDefault="00061A8A">
      <w:pPr>
        <w:autoSpaceDE w:val="0"/>
        <w:autoSpaceDN w:val="0"/>
        <w:adjustRightInd w:val="0"/>
        <w:spacing w:line="560" w:lineRule="exact"/>
        <w:ind w:firstLineChars="200" w:firstLine="602"/>
        <w:rPr>
          <w:rFonts w:ascii="Times New Roman" w:eastAsia="方正仿宋_GBK" w:hAnsi="Times New Roman" w:cs="Times New Roman"/>
          <w:b/>
          <w:kern w:val="0"/>
          <w:sz w:val="30"/>
          <w:szCs w:val="30"/>
        </w:rPr>
      </w:pPr>
      <w:r>
        <w:rPr>
          <w:rFonts w:ascii="Times New Roman" w:eastAsia="方正仿宋_GBK" w:hAnsi="Times New Roman" w:cs="Times New Roman"/>
          <w:b/>
          <w:kern w:val="0"/>
          <w:sz w:val="30"/>
          <w:szCs w:val="30"/>
        </w:rPr>
        <w:t>（一）《商业银行与内部人和股东关联交易管理办法》定义的关联方如下：</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第六条</w:t>
      </w:r>
      <w:r>
        <w:rPr>
          <w:rFonts w:ascii="Times New Roman" w:eastAsia="方正仿宋_GBK" w:hAnsi="Times New Roman" w:cs="Times New Roman" w:hint="eastAsia"/>
          <w:kern w:val="0"/>
          <w:sz w:val="30"/>
          <w:szCs w:val="30"/>
        </w:rPr>
        <w:t xml:space="preserve">  </w:t>
      </w:r>
      <w:r>
        <w:rPr>
          <w:rFonts w:ascii="Times New Roman" w:eastAsia="方正仿宋_GBK" w:hAnsi="Times New Roman" w:cs="Times New Roman"/>
          <w:kern w:val="0"/>
          <w:sz w:val="30"/>
          <w:szCs w:val="30"/>
        </w:rPr>
        <w:t>商业银行的关联方包括关联自然人、法人或其他组织。</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第七条</w:t>
      </w:r>
      <w:r>
        <w:rPr>
          <w:rFonts w:ascii="Times New Roman" w:eastAsia="方正仿宋_GBK" w:hAnsi="Times New Roman" w:cs="Times New Roman" w:hint="eastAsia"/>
          <w:kern w:val="0"/>
          <w:sz w:val="30"/>
          <w:szCs w:val="30"/>
        </w:rPr>
        <w:t xml:space="preserve">  </w:t>
      </w:r>
      <w:r>
        <w:rPr>
          <w:rFonts w:ascii="Times New Roman" w:eastAsia="方正仿宋_GBK" w:hAnsi="Times New Roman" w:cs="Times New Roman"/>
          <w:kern w:val="0"/>
          <w:sz w:val="30"/>
          <w:szCs w:val="30"/>
        </w:rPr>
        <w:t>商业银行的关联自然人包括：</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1.</w:t>
      </w:r>
      <w:r>
        <w:rPr>
          <w:rFonts w:ascii="Times New Roman" w:eastAsia="方正仿宋_GBK" w:hAnsi="Times New Roman" w:cs="Times New Roman"/>
          <w:kern w:val="0"/>
          <w:sz w:val="30"/>
          <w:szCs w:val="30"/>
        </w:rPr>
        <w:t>商业银行的内部人；</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2</w:t>
      </w:r>
      <w:r>
        <w:rPr>
          <w:rFonts w:ascii="Times New Roman" w:eastAsia="方正仿宋_GBK" w:hAnsi="Times New Roman" w:cs="Times New Roman" w:hint="eastAsia"/>
          <w:kern w:val="0"/>
          <w:sz w:val="30"/>
          <w:szCs w:val="30"/>
        </w:rPr>
        <w:t>.</w:t>
      </w:r>
      <w:r>
        <w:rPr>
          <w:rFonts w:ascii="Times New Roman" w:eastAsia="方正仿宋_GBK" w:hAnsi="Times New Roman" w:cs="Times New Roman"/>
          <w:kern w:val="0"/>
          <w:sz w:val="30"/>
          <w:szCs w:val="30"/>
        </w:rPr>
        <w:t>商业银行的主要自然人股东；</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3.</w:t>
      </w:r>
      <w:r>
        <w:rPr>
          <w:rFonts w:ascii="Times New Roman" w:eastAsia="方正仿宋_GBK" w:hAnsi="Times New Roman" w:cs="Times New Roman"/>
          <w:kern w:val="0"/>
          <w:sz w:val="30"/>
          <w:szCs w:val="30"/>
        </w:rPr>
        <w:t>商业银行的内部人和主要自然人股东的近亲属；</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4.</w:t>
      </w:r>
      <w:r>
        <w:rPr>
          <w:rFonts w:ascii="Times New Roman" w:eastAsia="方正仿宋_GBK" w:hAnsi="Times New Roman" w:cs="Times New Roman"/>
          <w:kern w:val="0"/>
          <w:sz w:val="30"/>
          <w:szCs w:val="30"/>
        </w:rPr>
        <w:t>商业银行的关联法人或其他组织的控股自然人股东、董事、关键管理人员，本项所指关联法人或其他组织不包括商业银行的内部人与主要自然人股东及其近亲属直接、间接、共同控制或可施加重大影响的法人或其他组织；</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5.</w:t>
      </w:r>
      <w:r>
        <w:rPr>
          <w:rFonts w:ascii="Times New Roman" w:eastAsia="方正仿宋_GBK" w:hAnsi="Times New Roman" w:cs="Times New Roman"/>
          <w:kern w:val="0"/>
          <w:sz w:val="30"/>
          <w:szCs w:val="30"/>
        </w:rPr>
        <w:t>对商业银行有重大影响的其他自然人。</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本办法所称商业银行的内部人包括商业银行的董事、总行和分行的高级管理人员、有权决定或者参与商业银行授信和资产转</w:t>
      </w:r>
      <w:r>
        <w:rPr>
          <w:rFonts w:ascii="Times New Roman" w:eastAsia="方正仿宋_GBK" w:hAnsi="Times New Roman" w:cs="Times New Roman"/>
          <w:kern w:val="0"/>
          <w:sz w:val="30"/>
          <w:szCs w:val="30"/>
        </w:rPr>
        <w:lastRenderedPageBreak/>
        <w:t>移的其他人员。</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本办法所称主要自然人股东是指持有或控制商业银行</w:t>
      </w:r>
      <w:r>
        <w:rPr>
          <w:rFonts w:ascii="Times New Roman" w:eastAsia="方正仿宋_GBK" w:hAnsi="Times New Roman" w:cs="Times New Roman"/>
          <w:kern w:val="0"/>
          <w:sz w:val="30"/>
          <w:szCs w:val="30"/>
        </w:rPr>
        <w:t>5%</w:t>
      </w:r>
      <w:r>
        <w:rPr>
          <w:rFonts w:ascii="Times New Roman" w:eastAsia="方正仿宋_GBK" w:hAnsi="Times New Roman" w:cs="Times New Roman"/>
          <w:kern w:val="0"/>
          <w:sz w:val="30"/>
          <w:szCs w:val="30"/>
        </w:rPr>
        <w:t>以上股份或表决权的自然人股东。自然人股东的近亲属持有或控制的股份或表决权应当与该自然人股东持有或控制的股份或表决权合并计算。</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本办法所称近亲属包括父母、配偶、兄弟姐妹及其配偶、成年子女及其配偶、配偶的父母、配偶的兄弟姐妹及其配偶、父母的兄弟姐妹及其配偶、父母的兄弟姐妹的成年子女及其配偶。</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第八条</w:t>
      </w:r>
      <w:r>
        <w:rPr>
          <w:rFonts w:ascii="Times New Roman" w:eastAsia="方正仿宋_GBK" w:hAnsi="Times New Roman" w:cs="Times New Roman" w:hint="eastAsia"/>
          <w:kern w:val="0"/>
          <w:sz w:val="30"/>
          <w:szCs w:val="30"/>
        </w:rPr>
        <w:t xml:space="preserve">  </w:t>
      </w:r>
      <w:r>
        <w:rPr>
          <w:rFonts w:ascii="Times New Roman" w:eastAsia="方正仿宋_GBK" w:hAnsi="Times New Roman" w:cs="Times New Roman"/>
          <w:kern w:val="0"/>
          <w:sz w:val="30"/>
          <w:szCs w:val="30"/>
        </w:rPr>
        <w:t>商业银行的关联法人或其他组织包括：</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1.</w:t>
      </w:r>
      <w:r>
        <w:rPr>
          <w:rFonts w:ascii="Times New Roman" w:eastAsia="方正仿宋_GBK" w:hAnsi="Times New Roman" w:cs="Times New Roman"/>
          <w:kern w:val="0"/>
          <w:sz w:val="30"/>
          <w:szCs w:val="30"/>
        </w:rPr>
        <w:t>商业银行的主要非自然人股东；</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2.</w:t>
      </w:r>
      <w:r>
        <w:rPr>
          <w:rFonts w:ascii="Times New Roman" w:eastAsia="方正仿宋_GBK" w:hAnsi="Times New Roman" w:cs="Times New Roman"/>
          <w:kern w:val="0"/>
          <w:sz w:val="30"/>
          <w:szCs w:val="30"/>
        </w:rPr>
        <w:t>与商业银行同受某一企业直接、间接控制的法人或其他组织；</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3.</w:t>
      </w:r>
      <w:r>
        <w:rPr>
          <w:rFonts w:ascii="Times New Roman" w:eastAsia="方正仿宋_GBK" w:hAnsi="Times New Roman" w:cs="Times New Roman"/>
          <w:kern w:val="0"/>
          <w:sz w:val="30"/>
          <w:szCs w:val="30"/>
        </w:rPr>
        <w:t>商业银行的内部人与主要自然人股东及其近亲属直接、间接、共同控制或可施加重大影响的法人或其他组织；</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4.</w:t>
      </w:r>
      <w:r>
        <w:rPr>
          <w:rFonts w:ascii="Times New Roman" w:eastAsia="方正仿宋_GBK" w:hAnsi="Times New Roman" w:cs="Times New Roman"/>
          <w:kern w:val="0"/>
          <w:sz w:val="30"/>
          <w:szCs w:val="30"/>
        </w:rPr>
        <w:t>其他可直接、间接、共同控制商业银行或可对商业银行施加重大影响的法人或其他组织。</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本办法所称主要非自然人股东是指能够直接、间接、共同持有或控制商业银行</w:t>
      </w:r>
      <w:r>
        <w:rPr>
          <w:rFonts w:ascii="Times New Roman" w:eastAsia="方正仿宋_GBK" w:hAnsi="Times New Roman" w:cs="Times New Roman"/>
          <w:kern w:val="0"/>
          <w:sz w:val="30"/>
          <w:szCs w:val="30"/>
        </w:rPr>
        <w:t>5%</w:t>
      </w:r>
      <w:r>
        <w:rPr>
          <w:rFonts w:ascii="Times New Roman" w:eastAsia="方正仿宋_GBK" w:hAnsi="Times New Roman" w:cs="Times New Roman"/>
          <w:kern w:val="0"/>
          <w:sz w:val="30"/>
          <w:szCs w:val="30"/>
        </w:rPr>
        <w:t>以上股份或表决权的非自然人股东。</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本办法所指法人或其他组织不包括商业银行。</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本条第一款所指企业不包括国有资产管理公司。</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第九条</w:t>
      </w:r>
      <w:r>
        <w:rPr>
          <w:rFonts w:ascii="Times New Roman" w:eastAsia="方正仿宋_GBK" w:hAnsi="Times New Roman" w:cs="Times New Roman" w:hint="eastAsia"/>
          <w:kern w:val="0"/>
          <w:sz w:val="30"/>
          <w:szCs w:val="30"/>
        </w:rPr>
        <w:t xml:space="preserve">  </w:t>
      </w:r>
      <w:r>
        <w:rPr>
          <w:rFonts w:ascii="Times New Roman" w:eastAsia="方正仿宋_GBK" w:hAnsi="Times New Roman" w:cs="Times New Roman"/>
          <w:kern w:val="0"/>
          <w:sz w:val="30"/>
          <w:szCs w:val="30"/>
        </w:rPr>
        <w:t>本办法所称控制是指有权决定商业银行、法人或其他组织的人事、财务和经营决策，并可据以从其经营活动中获取利益。</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本办法所称共同控制是指按合同约定或一致行动时，对某项</w:t>
      </w:r>
      <w:r>
        <w:rPr>
          <w:rFonts w:ascii="Times New Roman" w:eastAsia="方正仿宋_GBK" w:hAnsi="Times New Roman" w:cs="Times New Roman"/>
          <w:kern w:val="0"/>
          <w:sz w:val="30"/>
          <w:szCs w:val="30"/>
        </w:rPr>
        <w:lastRenderedPageBreak/>
        <w:t>经济活动所共有的控制。</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本办法所称重大影响是指不能决定商业银行、法人或其他组织的人事、财务和经营决策，但能通过在其董事会或经营决策机构中派出人员等方式参与决策。</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第十条</w:t>
      </w:r>
      <w:r>
        <w:rPr>
          <w:rFonts w:ascii="Times New Roman" w:eastAsia="方正仿宋_GBK" w:hAnsi="Times New Roman" w:cs="Times New Roman" w:hint="eastAsia"/>
          <w:kern w:val="0"/>
          <w:sz w:val="30"/>
          <w:szCs w:val="30"/>
        </w:rPr>
        <w:t xml:space="preserve">  </w:t>
      </w:r>
      <w:r>
        <w:rPr>
          <w:rFonts w:ascii="Times New Roman" w:eastAsia="方正仿宋_GBK" w:hAnsi="Times New Roman" w:cs="Times New Roman"/>
          <w:kern w:val="0"/>
          <w:sz w:val="30"/>
          <w:szCs w:val="30"/>
        </w:rPr>
        <w:t>与商业银行关联方签署协议、作出安排，生效后符合前述关联方条件的自然人、法人或其他组织视为商业银行的关联方。</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第十一条</w:t>
      </w:r>
      <w:r>
        <w:rPr>
          <w:rFonts w:ascii="Times New Roman" w:eastAsia="方正仿宋_GBK" w:hAnsi="Times New Roman" w:cs="Times New Roman" w:hint="eastAsia"/>
          <w:kern w:val="0"/>
          <w:sz w:val="30"/>
          <w:szCs w:val="30"/>
        </w:rPr>
        <w:t xml:space="preserve">  </w:t>
      </w:r>
      <w:r>
        <w:rPr>
          <w:rFonts w:ascii="Times New Roman" w:eastAsia="方正仿宋_GBK" w:hAnsi="Times New Roman" w:cs="Times New Roman"/>
          <w:kern w:val="0"/>
          <w:sz w:val="30"/>
          <w:szCs w:val="30"/>
        </w:rPr>
        <w:t>自然人、法人或其他组织因对商业银行有影响，与商业银行发生的本办法第十八条所列交易行为未遵守商业原则，有失公允，并可据以从交易中获取利益，给商业银行造成损失的，商业银行应当按照实质重于形式的原则将其视为关联方。</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第十七条</w:t>
      </w:r>
      <w:r>
        <w:rPr>
          <w:rFonts w:ascii="Times New Roman" w:eastAsia="方正仿宋_GBK" w:hAnsi="Times New Roman" w:cs="Times New Roman" w:hint="eastAsia"/>
          <w:kern w:val="0"/>
          <w:sz w:val="30"/>
          <w:szCs w:val="30"/>
        </w:rPr>
        <w:t xml:space="preserve">  </w:t>
      </w:r>
      <w:r>
        <w:rPr>
          <w:rFonts w:ascii="Times New Roman" w:eastAsia="方正仿宋_GBK" w:hAnsi="Times New Roman" w:cs="Times New Roman"/>
          <w:kern w:val="0"/>
          <w:sz w:val="30"/>
          <w:szCs w:val="30"/>
        </w:rPr>
        <w:t>中国银行业监督管理委员会有权依法认定商业银行的关联自然人、法人或其他组织。</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第四十四条</w:t>
      </w:r>
      <w:r>
        <w:rPr>
          <w:rFonts w:ascii="Times New Roman" w:eastAsia="方正仿宋_GBK" w:hAnsi="Times New Roman" w:cs="Times New Roman" w:hint="eastAsia"/>
          <w:kern w:val="0"/>
          <w:sz w:val="30"/>
          <w:szCs w:val="30"/>
        </w:rPr>
        <w:t xml:space="preserve">  </w:t>
      </w:r>
      <w:r>
        <w:rPr>
          <w:rFonts w:ascii="Times New Roman" w:eastAsia="方正仿宋_GBK" w:hAnsi="Times New Roman" w:cs="Times New Roman"/>
          <w:kern w:val="0"/>
          <w:sz w:val="30"/>
          <w:szCs w:val="30"/>
        </w:rPr>
        <w:t>本办法中的</w:t>
      </w:r>
      <w:r>
        <w:rPr>
          <w:rFonts w:ascii="Times New Roman" w:eastAsia="方正仿宋_GBK" w:hAnsi="Times New Roman" w:cs="Times New Roman"/>
          <w:kern w:val="0"/>
          <w:sz w:val="30"/>
          <w:szCs w:val="30"/>
        </w:rPr>
        <w:t>“</w:t>
      </w:r>
      <w:r>
        <w:rPr>
          <w:rFonts w:ascii="Times New Roman" w:eastAsia="方正仿宋_GBK" w:hAnsi="Times New Roman" w:cs="Times New Roman"/>
          <w:kern w:val="0"/>
          <w:sz w:val="30"/>
          <w:szCs w:val="30"/>
        </w:rPr>
        <w:t>以上</w:t>
      </w:r>
      <w:r>
        <w:rPr>
          <w:rFonts w:ascii="Times New Roman" w:eastAsia="方正仿宋_GBK" w:hAnsi="Times New Roman" w:cs="Times New Roman"/>
          <w:kern w:val="0"/>
          <w:sz w:val="30"/>
          <w:szCs w:val="30"/>
        </w:rPr>
        <w:t>”</w:t>
      </w:r>
      <w:r>
        <w:rPr>
          <w:rFonts w:ascii="Times New Roman" w:eastAsia="方正仿宋_GBK" w:hAnsi="Times New Roman" w:cs="Times New Roman"/>
          <w:kern w:val="0"/>
          <w:sz w:val="30"/>
          <w:szCs w:val="30"/>
        </w:rPr>
        <w:t>不含本数，</w:t>
      </w:r>
      <w:r>
        <w:rPr>
          <w:rFonts w:ascii="Times New Roman" w:eastAsia="方正仿宋_GBK" w:hAnsi="Times New Roman" w:cs="Times New Roman"/>
          <w:kern w:val="0"/>
          <w:sz w:val="30"/>
          <w:szCs w:val="30"/>
        </w:rPr>
        <w:t>“</w:t>
      </w:r>
      <w:r>
        <w:rPr>
          <w:rFonts w:ascii="Times New Roman" w:eastAsia="方正仿宋_GBK" w:hAnsi="Times New Roman" w:cs="Times New Roman"/>
          <w:kern w:val="0"/>
          <w:sz w:val="30"/>
          <w:szCs w:val="30"/>
        </w:rPr>
        <w:t>以下</w:t>
      </w:r>
      <w:r>
        <w:rPr>
          <w:rFonts w:ascii="Times New Roman" w:eastAsia="方正仿宋_GBK" w:hAnsi="Times New Roman" w:cs="Times New Roman"/>
          <w:kern w:val="0"/>
          <w:sz w:val="30"/>
          <w:szCs w:val="30"/>
        </w:rPr>
        <w:t>”</w:t>
      </w:r>
      <w:r>
        <w:rPr>
          <w:rFonts w:ascii="Times New Roman" w:eastAsia="方正仿宋_GBK" w:hAnsi="Times New Roman" w:cs="Times New Roman"/>
          <w:kern w:val="0"/>
          <w:sz w:val="30"/>
          <w:szCs w:val="30"/>
        </w:rPr>
        <w:t>含本数。</w:t>
      </w:r>
    </w:p>
    <w:p w:rsidR="00F43A36" w:rsidRDefault="00061A8A">
      <w:pPr>
        <w:autoSpaceDE w:val="0"/>
        <w:autoSpaceDN w:val="0"/>
        <w:adjustRightInd w:val="0"/>
        <w:spacing w:line="560" w:lineRule="exact"/>
        <w:ind w:firstLineChars="200" w:firstLine="602"/>
        <w:rPr>
          <w:rFonts w:ascii="Times New Roman" w:eastAsia="方正仿宋_GBK" w:hAnsi="Times New Roman" w:cs="Times New Roman"/>
          <w:b/>
          <w:kern w:val="0"/>
          <w:sz w:val="30"/>
          <w:szCs w:val="30"/>
        </w:rPr>
      </w:pPr>
      <w:r>
        <w:rPr>
          <w:rFonts w:ascii="Times New Roman" w:eastAsia="方正仿宋_GBK" w:hAnsi="Times New Roman" w:cs="Times New Roman"/>
          <w:b/>
          <w:kern w:val="0"/>
          <w:sz w:val="30"/>
          <w:szCs w:val="30"/>
        </w:rPr>
        <w:t>（二）《商业银行股权管理暂行办法》定义的关联方如下：</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第九条</w:t>
      </w:r>
      <w:r>
        <w:rPr>
          <w:rFonts w:ascii="Times New Roman" w:eastAsia="方正仿宋_GBK" w:hAnsi="Times New Roman" w:cs="Times New Roman" w:hint="eastAsia"/>
          <w:kern w:val="0"/>
          <w:sz w:val="30"/>
          <w:szCs w:val="30"/>
        </w:rPr>
        <w:t xml:space="preserve">  </w:t>
      </w:r>
      <w:r>
        <w:rPr>
          <w:rFonts w:ascii="Times New Roman" w:eastAsia="方正仿宋_GBK" w:hAnsi="Times New Roman" w:cs="Times New Roman"/>
          <w:kern w:val="0"/>
          <w:sz w:val="30"/>
          <w:szCs w:val="30"/>
        </w:rPr>
        <w:t>商业银行主要股东是指持有或控制商业银行百分之五以上股份或表决权，或持有资本总额或股份总额不足百分之五但对商业银行经营管理有重大影响的股东。</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前款中的</w:t>
      </w:r>
      <w:r>
        <w:rPr>
          <w:rFonts w:ascii="Times New Roman" w:eastAsia="方正仿宋_GBK" w:hAnsi="Times New Roman" w:cs="Times New Roman"/>
          <w:kern w:val="0"/>
          <w:sz w:val="30"/>
          <w:szCs w:val="30"/>
        </w:rPr>
        <w:t>“</w:t>
      </w:r>
      <w:r>
        <w:rPr>
          <w:rFonts w:ascii="Times New Roman" w:eastAsia="方正仿宋_GBK" w:hAnsi="Times New Roman" w:cs="Times New Roman"/>
          <w:kern w:val="0"/>
          <w:sz w:val="30"/>
          <w:szCs w:val="30"/>
        </w:rPr>
        <w:t>重大影响</w:t>
      </w:r>
      <w:r>
        <w:rPr>
          <w:rFonts w:ascii="Times New Roman" w:eastAsia="方正仿宋_GBK" w:hAnsi="Times New Roman" w:cs="Times New Roman"/>
          <w:kern w:val="0"/>
          <w:sz w:val="30"/>
          <w:szCs w:val="30"/>
        </w:rPr>
        <w:t>”</w:t>
      </w:r>
      <w:r>
        <w:rPr>
          <w:rFonts w:ascii="Times New Roman" w:eastAsia="方正仿宋_GBK" w:hAnsi="Times New Roman" w:cs="Times New Roman"/>
          <w:kern w:val="0"/>
          <w:sz w:val="30"/>
          <w:szCs w:val="30"/>
        </w:rPr>
        <w:t>，包括但不限于向商业银行派驻董事、监事或高级管理人员，通过协议或其他方式影响商业银行的财务和经营管理决策以及银监会或其派出机构认定的其他情形。</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第三十二条</w:t>
      </w:r>
      <w:r>
        <w:rPr>
          <w:rFonts w:ascii="Times New Roman" w:eastAsia="方正仿宋_GBK" w:hAnsi="Times New Roman" w:cs="Times New Roman" w:hint="eastAsia"/>
          <w:kern w:val="0"/>
          <w:sz w:val="30"/>
          <w:szCs w:val="30"/>
        </w:rPr>
        <w:t xml:space="preserve">  </w:t>
      </w:r>
      <w:r>
        <w:rPr>
          <w:rFonts w:ascii="Times New Roman" w:eastAsia="方正仿宋_GBK" w:hAnsi="Times New Roman" w:cs="Times New Roman"/>
          <w:kern w:val="0"/>
          <w:sz w:val="30"/>
          <w:szCs w:val="30"/>
        </w:rPr>
        <w:t>商业银行应当加强关联交易管理，准确识别关联方，严格落实关联交易审批制度和信息披露制度，及时向银监会或其派出机构报告关联交易情况。</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lastRenderedPageBreak/>
        <w:t>商业银行应当按照穿透原则将主要股东及其控股股东、实际控制人、关联方、一致行动人、最终受益人作为自身的关联方进行管理。</w:t>
      </w:r>
    </w:p>
    <w:p w:rsidR="00F43A36" w:rsidRDefault="00061A8A">
      <w:pPr>
        <w:autoSpaceDE w:val="0"/>
        <w:autoSpaceDN w:val="0"/>
        <w:adjustRightInd w:val="0"/>
        <w:spacing w:line="560" w:lineRule="exact"/>
        <w:ind w:firstLineChars="200" w:firstLine="600"/>
        <w:rPr>
          <w:rFonts w:ascii="黑体" w:eastAsia="黑体" w:hAnsi="黑体" w:cs="Times New Roman"/>
          <w:bCs/>
          <w:kern w:val="0"/>
          <w:sz w:val="30"/>
          <w:szCs w:val="30"/>
        </w:rPr>
      </w:pPr>
      <w:r>
        <w:rPr>
          <w:rFonts w:ascii="黑体" w:eastAsia="黑体" w:hAnsi="黑体" w:cs="Times New Roman"/>
          <w:bCs/>
          <w:kern w:val="0"/>
          <w:sz w:val="30"/>
          <w:szCs w:val="30"/>
        </w:rPr>
        <w:t>二、证监会《上市公司信息披露管理办法》定义的关联方如下：</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第七十一条</w:t>
      </w:r>
      <w:r>
        <w:rPr>
          <w:rFonts w:ascii="Times New Roman" w:eastAsia="方正仿宋_GBK" w:hAnsi="Times New Roman" w:cs="Times New Roman" w:hint="eastAsia"/>
          <w:kern w:val="0"/>
          <w:sz w:val="30"/>
          <w:szCs w:val="30"/>
        </w:rPr>
        <w:t xml:space="preserve"> </w:t>
      </w:r>
      <w:r>
        <w:rPr>
          <w:rFonts w:ascii="Times New Roman" w:eastAsia="方正仿宋_GBK" w:hAnsi="Times New Roman" w:cs="Times New Roman" w:hint="eastAsia"/>
          <w:kern w:val="0"/>
          <w:sz w:val="30"/>
          <w:szCs w:val="30"/>
        </w:rPr>
        <w:t>（三）</w:t>
      </w:r>
      <w:r>
        <w:rPr>
          <w:rFonts w:ascii="Times New Roman" w:eastAsia="方正仿宋_GBK" w:hAnsi="Times New Roman" w:cs="Times New Roman"/>
          <w:kern w:val="0"/>
          <w:sz w:val="30"/>
          <w:szCs w:val="30"/>
        </w:rPr>
        <w:t>关联人包括关联法人和关联自然人。</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具有以下情形之一的法人，为上市公司的关联法人：</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 xml:space="preserve">1. </w:t>
      </w:r>
      <w:r>
        <w:rPr>
          <w:rFonts w:ascii="Times New Roman" w:eastAsia="方正仿宋_GBK" w:hAnsi="Times New Roman" w:cs="Times New Roman"/>
          <w:kern w:val="0"/>
          <w:sz w:val="30"/>
          <w:szCs w:val="30"/>
        </w:rPr>
        <w:t>直接或者间接地控制上市公司的法人；</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 xml:space="preserve">2. </w:t>
      </w:r>
      <w:r>
        <w:rPr>
          <w:rFonts w:ascii="Times New Roman" w:eastAsia="方正仿宋_GBK" w:hAnsi="Times New Roman" w:cs="Times New Roman"/>
          <w:kern w:val="0"/>
          <w:sz w:val="30"/>
          <w:szCs w:val="30"/>
        </w:rPr>
        <w:t>由前项所述法人直接或者间接控制的除上市公司及其控股子公司以外的法人；</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 xml:space="preserve">3. </w:t>
      </w:r>
      <w:bookmarkStart w:id="43" w:name="OLE_LINK1"/>
      <w:r>
        <w:rPr>
          <w:rFonts w:ascii="Times New Roman" w:eastAsia="方正仿宋_GBK" w:hAnsi="Times New Roman" w:cs="Times New Roman"/>
          <w:kern w:val="0"/>
          <w:sz w:val="30"/>
          <w:szCs w:val="30"/>
        </w:rPr>
        <w:t>关联自然人直接或者间接控制的、或者担任董事、高级管理人员的，除上市公司及其控股子公司以外的法人；</w:t>
      </w:r>
      <w:bookmarkEnd w:id="43"/>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 xml:space="preserve">4. </w:t>
      </w:r>
      <w:r>
        <w:rPr>
          <w:rFonts w:ascii="Times New Roman" w:eastAsia="方正仿宋_GBK" w:hAnsi="Times New Roman" w:cs="Times New Roman"/>
          <w:kern w:val="0"/>
          <w:sz w:val="30"/>
          <w:szCs w:val="30"/>
        </w:rPr>
        <w:t>持有上市公司</w:t>
      </w:r>
      <w:r>
        <w:rPr>
          <w:rFonts w:ascii="Times New Roman" w:eastAsia="方正仿宋_GBK" w:hAnsi="Times New Roman" w:cs="Times New Roman"/>
          <w:kern w:val="0"/>
          <w:sz w:val="30"/>
          <w:szCs w:val="30"/>
        </w:rPr>
        <w:t>5%</w:t>
      </w:r>
      <w:r>
        <w:rPr>
          <w:rFonts w:ascii="Times New Roman" w:eastAsia="方正仿宋_GBK" w:hAnsi="Times New Roman" w:cs="Times New Roman"/>
          <w:kern w:val="0"/>
          <w:sz w:val="30"/>
          <w:szCs w:val="30"/>
        </w:rPr>
        <w:t>以上股份的法人或者一致行动人；</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 xml:space="preserve">5. </w:t>
      </w:r>
      <w:bookmarkStart w:id="44" w:name="OLE_LINK2"/>
      <w:r>
        <w:rPr>
          <w:rFonts w:ascii="Times New Roman" w:eastAsia="方正仿宋_GBK" w:hAnsi="Times New Roman" w:cs="Times New Roman"/>
          <w:kern w:val="0"/>
          <w:sz w:val="30"/>
          <w:szCs w:val="30"/>
        </w:rPr>
        <w:t>在过去</w:t>
      </w:r>
      <w:r>
        <w:rPr>
          <w:rFonts w:ascii="Times New Roman" w:eastAsia="方正仿宋_GBK" w:hAnsi="Times New Roman" w:cs="Times New Roman"/>
          <w:kern w:val="0"/>
          <w:sz w:val="30"/>
          <w:szCs w:val="30"/>
        </w:rPr>
        <w:t xml:space="preserve">12 </w:t>
      </w:r>
      <w:r>
        <w:rPr>
          <w:rFonts w:ascii="Times New Roman" w:eastAsia="方正仿宋_GBK" w:hAnsi="Times New Roman" w:cs="Times New Roman"/>
          <w:kern w:val="0"/>
          <w:sz w:val="30"/>
          <w:szCs w:val="30"/>
        </w:rPr>
        <w:t>个月内或者根据相关协议安排在未来</w:t>
      </w:r>
      <w:r>
        <w:rPr>
          <w:rFonts w:ascii="Times New Roman" w:eastAsia="方正仿宋_GBK" w:hAnsi="Times New Roman" w:cs="Times New Roman"/>
          <w:kern w:val="0"/>
          <w:sz w:val="30"/>
          <w:szCs w:val="30"/>
        </w:rPr>
        <w:t xml:space="preserve">12 </w:t>
      </w:r>
      <w:r>
        <w:rPr>
          <w:rFonts w:ascii="Times New Roman" w:eastAsia="方正仿宋_GBK" w:hAnsi="Times New Roman" w:cs="Times New Roman"/>
          <w:kern w:val="0"/>
          <w:sz w:val="30"/>
          <w:szCs w:val="30"/>
        </w:rPr>
        <w:t>月内，存在上述情形之一的；</w:t>
      </w:r>
    </w:p>
    <w:bookmarkEnd w:id="44"/>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 xml:space="preserve">6. </w:t>
      </w:r>
      <w:r>
        <w:rPr>
          <w:rFonts w:ascii="Times New Roman" w:eastAsia="方正仿宋_GBK" w:hAnsi="Times New Roman" w:cs="Times New Roman"/>
          <w:kern w:val="0"/>
          <w:sz w:val="30"/>
          <w:szCs w:val="30"/>
        </w:rPr>
        <w:t>证监会、证券交易所或者上市公司根据实质重于形式的原则认定的其他与上市公司有特殊关系，可能或者已经造成上市公司对其利益倾斜的法人。</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具有以下情形之一的自然人，为上市公司的关联自然人：</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 xml:space="preserve">1. </w:t>
      </w:r>
      <w:bookmarkStart w:id="45" w:name="OLE_LINK3"/>
      <w:r>
        <w:rPr>
          <w:rFonts w:ascii="Times New Roman" w:eastAsia="方正仿宋_GBK" w:hAnsi="Times New Roman" w:cs="Times New Roman"/>
          <w:kern w:val="0"/>
          <w:sz w:val="30"/>
          <w:szCs w:val="30"/>
        </w:rPr>
        <w:t>直接或者间接持有上市公司</w:t>
      </w:r>
      <w:r>
        <w:rPr>
          <w:rFonts w:ascii="Times New Roman" w:eastAsia="方正仿宋_GBK" w:hAnsi="Times New Roman" w:cs="Times New Roman"/>
          <w:kern w:val="0"/>
          <w:sz w:val="30"/>
          <w:szCs w:val="30"/>
        </w:rPr>
        <w:t>5%</w:t>
      </w:r>
      <w:r>
        <w:rPr>
          <w:rFonts w:ascii="Times New Roman" w:eastAsia="方正仿宋_GBK" w:hAnsi="Times New Roman" w:cs="Times New Roman"/>
          <w:kern w:val="0"/>
          <w:sz w:val="30"/>
          <w:szCs w:val="30"/>
        </w:rPr>
        <w:t>以上股份的自然人</w:t>
      </w:r>
      <w:bookmarkEnd w:id="45"/>
      <w:r>
        <w:rPr>
          <w:rFonts w:ascii="Times New Roman" w:eastAsia="方正仿宋_GBK" w:hAnsi="Times New Roman" w:cs="Times New Roman"/>
          <w:kern w:val="0"/>
          <w:sz w:val="30"/>
          <w:szCs w:val="30"/>
        </w:rPr>
        <w:t>；</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 xml:space="preserve">2. </w:t>
      </w:r>
      <w:r>
        <w:rPr>
          <w:rFonts w:ascii="Times New Roman" w:eastAsia="方正仿宋_GBK" w:hAnsi="Times New Roman" w:cs="Times New Roman"/>
          <w:kern w:val="0"/>
          <w:sz w:val="30"/>
          <w:szCs w:val="30"/>
        </w:rPr>
        <w:t>上市公司董事、监事及高级管理人员；</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 xml:space="preserve">3. </w:t>
      </w:r>
      <w:r>
        <w:rPr>
          <w:rFonts w:ascii="Times New Roman" w:eastAsia="方正仿宋_GBK" w:hAnsi="Times New Roman" w:cs="Times New Roman"/>
          <w:kern w:val="0"/>
          <w:sz w:val="30"/>
          <w:szCs w:val="30"/>
        </w:rPr>
        <w:t>直接或者间接地控制上市公司的法人的董事、监事及高级管理人员；</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 xml:space="preserve">4. </w:t>
      </w:r>
      <w:r>
        <w:rPr>
          <w:rFonts w:ascii="Times New Roman" w:eastAsia="方正仿宋_GBK" w:hAnsi="Times New Roman" w:cs="Times New Roman"/>
          <w:kern w:val="0"/>
          <w:sz w:val="30"/>
          <w:szCs w:val="30"/>
        </w:rPr>
        <w:t>上述第</w:t>
      </w:r>
      <w:r>
        <w:rPr>
          <w:rFonts w:ascii="Times New Roman" w:eastAsia="方正仿宋_GBK" w:hAnsi="Times New Roman" w:cs="Times New Roman"/>
          <w:kern w:val="0"/>
          <w:sz w:val="30"/>
          <w:szCs w:val="30"/>
        </w:rPr>
        <w:t>1</w:t>
      </w:r>
      <w:r>
        <w:rPr>
          <w:rFonts w:ascii="Times New Roman" w:eastAsia="方正仿宋_GBK" w:hAnsi="Times New Roman" w:cs="Times New Roman"/>
          <w:kern w:val="0"/>
          <w:sz w:val="30"/>
          <w:szCs w:val="30"/>
        </w:rPr>
        <w:t>、</w:t>
      </w:r>
      <w:r>
        <w:rPr>
          <w:rFonts w:ascii="Times New Roman" w:eastAsia="方正仿宋_GBK" w:hAnsi="Times New Roman" w:cs="Times New Roman"/>
          <w:kern w:val="0"/>
          <w:sz w:val="30"/>
          <w:szCs w:val="30"/>
        </w:rPr>
        <w:t xml:space="preserve">2 </w:t>
      </w:r>
      <w:r>
        <w:rPr>
          <w:rFonts w:ascii="Times New Roman" w:eastAsia="方正仿宋_GBK" w:hAnsi="Times New Roman" w:cs="Times New Roman"/>
          <w:kern w:val="0"/>
          <w:sz w:val="30"/>
          <w:szCs w:val="30"/>
        </w:rPr>
        <w:t>项所述人士的关系密切的</w:t>
      </w:r>
      <w:bookmarkStart w:id="46" w:name="OLE_LINK4"/>
      <w:r>
        <w:rPr>
          <w:rFonts w:ascii="Times New Roman" w:eastAsia="方正仿宋_GBK" w:hAnsi="Times New Roman" w:cs="Times New Roman"/>
          <w:kern w:val="0"/>
          <w:sz w:val="30"/>
          <w:szCs w:val="30"/>
        </w:rPr>
        <w:t>家庭成员，包括配</w:t>
      </w:r>
      <w:r>
        <w:rPr>
          <w:rFonts w:ascii="Times New Roman" w:eastAsia="方正仿宋_GBK" w:hAnsi="Times New Roman" w:cs="Times New Roman"/>
          <w:kern w:val="0"/>
          <w:sz w:val="30"/>
          <w:szCs w:val="30"/>
        </w:rPr>
        <w:lastRenderedPageBreak/>
        <w:t>偶、父母、年满</w:t>
      </w:r>
      <w:r>
        <w:rPr>
          <w:rFonts w:ascii="Times New Roman" w:eastAsia="方正仿宋_GBK" w:hAnsi="Times New Roman" w:cs="Times New Roman"/>
          <w:kern w:val="0"/>
          <w:sz w:val="30"/>
          <w:szCs w:val="30"/>
        </w:rPr>
        <w:t xml:space="preserve">18 </w:t>
      </w:r>
      <w:r>
        <w:rPr>
          <w:rFonts w:ascii="Times New Roman" w:eastAsia="方正仿宋_GBK" w:hAnsi="Times New Roman" w:cs="Times New Roman"/>
          <w:kern w:val="0"/>
          <w:sz w:val="30"/>
          <w:szCs w:val="30"/>
        </w:rPr>
        <w:t>周岁的子女及其配偶、兄弟姐妹及其配偶，配偶的父母、兄弟姐妹，子女配偶的父母；</w:t>
      </w:r>
    </w:p>
    <w:bookmarkEnd w:id="46"/>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 xml:space="preserve">5. </w:t>
      </w:r>
      <w:r>
        <w:rPr>
          <w:rFonts w:ascii="Times New Roman" w:eastAsia="方正仿宋_GBK" w:hAnsi="Times New Roman" w:cs="Times New Roman"/>
          <w:kern w:val="0"/>
          <w:sz w:val="30"/>
          <w:szCs w:val="30"/>
        </w:rPr>
        <w:t>在过去</w:t>
      </w:r>
      <w:r>
        <w:rPr>
          <w:rFonts w:ascii="Times New Roman" w:eastAsia="方正仿宋_GBK" w:hAnsi="Times New Roman" w:cs="Times New Roman"/>
          <w:kern w:val="0"/>
          <w:sz w:val="30"/>
          <w:szCs w:val="30"/>
        </w:rPr>
        <w:t xml:space="preserve">12 </w:t>
      </w:r>
      <w:r>
        <w:rPr>
          <w:rFonts w:ascii="Times New Roman" w:eastAsia="方正仿宋_GBK" w:hAnsi="Times New Roman" w:cs="Times New Roman"/>
          <w:kern w:val="0"/>
          <w:sz w:val="30"/>
          <w:szCs w:val="30"/>
        </w:rPr>
        <w:t>个月内或者根据相关协议安排在未来</w:t>
      </w:r>
      <w:r>
        <w:rPr>
          <w:rFonts w:ascii="Times New Roman" w:eastAsia="方正仿宋_GBK" w:hAnsi="Times New Roman" w:cs="Times New Roman"/>
          <w:kern w:val="0"/>
          <w:sz w:val="30"/>
          <w:szCs w:val="30"/>
        </w:rPr>
        <w:t xml:space="preserve">12 </w:t>
      </w:r>
      <w:r>
        <w:rPr>
          <w:rFonts w:ascii="Times New Roman" w:eastAsia="方正仿宋_GBK" w:hAnsi="Times New Roman" w:cs="Times New Roman"/>
          <w:kern w:val="0"/>
          <w:sz w:val="30"/>
          <w:szCs w:val="30"/>
        </w:rPr>
        <w:t>个月内，存在上述情形之一的；</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 xml:space="preserve">6. </w:t>
      </w:r>
      <w:r>
        <w:rPr>
          <w:rFonts w:ascii="Times New Roman" w:eastAsia="方正仿宋_GBK" w:hAnsi="Times New Roman" w:cs="Times New Roman"/>
          <w:kern w:val="0"/>
          <w:sz w:val="30"/>
          <w:szCs w:val="30"/>
        </w:rPr>
        <w:t>证监会、证券交易所或者上市公司根据实质重于形式的原则认定的其他与上市公司有特殊关系，可能或者已经造成上市公司对其利益倾斜的自然人。</w:t>
      </w:r>
    </w:p>
    <w:p w:rsidR="00F43A36" w:rsidRDefault="00061A8A">
      <w:pPr>
        <w:autoSpaceDE w:val="0"/>
        <w:autoSpaceDN w:val="0"/>
        <w:adjustRightInd w:val="0"/>
        <w:spacing w:line="560" w:lineRule="exact"/>
        <w:ind w:firstLineChars="200" w:firstLine="600"/>
        <w:rPr>
          <w:rFonts w:ascii="黑体" w:eastAsia="黑体" w:hAnsi="黑体" w:cs="Times New Roman"/>
          <w:bCs/>
          <w:kern w:val="0"/>
          <w:sz w:val="30"/>
          <w:szCs w:val="30"/>
        </w:rPr>
      </w:pPr>
      <w:r>
        <w:rPr>
          <w:rFonts w:ascii="黑体" w:eastAsia="黑体" w:hAnsi="黑体" w:cs="Times New Roman"/>
          <w:bCs/>
          <w:kern w:val="0"/>
          <w:sz w:val="30"/>
          <w:szCs w:val="30"/>
        </w:rPr>
        <w:t>三、《上海证券交易所股票上市规则》及《上海证券交易所上市公司关联交易实施指引》定义的关联方如下：</w:t>
      </w:r>
    </w:p>
    <w:p w:rsidR="00F43A36" w:rsidRDefault="00061A8A">
      <w:pPr>
        <w:autoSpaceDE w:val="0"/>
        <w:autoSpaceDN w:val="0"/>
        <w:adjustRightInd w:val="0"/>
        <w:spacing w:line="560" w:lineRule="exact"/>
        <w:ind w:firstLineChars="200" w:firstLine="602"/>
        <w:rPr>
          <w:rFonts w:ascii="Times New Roman" w:eastAsia="方正仿宋_GBK" w:hAnsi="Times New Roman" w:cs="Times New Roman"/>
          <w:b/>
          <w:bCs/>
          <w:kern w:val="0"/>
          <w:sz w:val="30"/>
          <w:szCs w:val="30"/>
        </w:rPr>
      </w:pPr>
      <w:r>
        <w:rPr>
          <w:rFonts w:ascii="Times New Roman" w:eastAsia="方正仿宋_GBK" w:hAnsi="Times New Roman" w:cs="Times New Roman"/>
          <w:b/>
          <w:bCs/>
          <w:kern w:val="0"/>
          <w:sz w:val="30"/>
          <w:szCs w:val="30"/>
        </w:rPr>
        <w:t>《上海证券交易所股票上市规则》定义的关联方：</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 xml:space="preserve">10.1.2 </w:t>
      </w:r>
      <w:r>
        <w:rPr>
          <w:rFonts w:ascii="Times New Roman" w:eastAsia="方正仿宋_GBK" w:hAnsi="Times New Roman" w:cs="Times New Roman"/>
          <w:kern w:val="0"/>
          <w:sz w:val="30"/>
          <w:szCs w:val="30"/>
        </w:rPr>
        <w:t>上市公司的关联人包括关联法人和关联自然人。</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10.1.3</w:t>
      </w:r>
      <w:r>
        <w:rPr>
          <w:rFonts w:ascii="Times New Roman" w:eastAsia="方正仿宋_GBK" w:hAnsi="Times New Roman" w:cs="Times New Roman"/>
          <w:kern w:val="0"/>
          <w:sz w:val="30"/>
          <w:szCs w:val="30"/>
        </w:rPr>
        <w:t>具有以下情形之一的法人，为上市公司的关联法人：</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w:t>
      </w:r>
      <w:r>
        <w:rPr>
          <w:rFonts w:ascii="Times New Roman" w:eastAsia="方正仿宋_GBK" w:hAnsi="Times New Roman" w:cs="Times New Roman"/>
          <w:kern w:val="0"/>
          <w:sz w:val="30"/>
          <w:szCs w:val="30"/>
        </w:rPr>
        <w:t>一</w:t>
      </w:r>
      <w:r>
        <w:rPr>
          <w:rFonts w:ascii="Times New Roman" w:eastAsia="方正仿宋_GBK" w:hAnsi="Times New Roman" w:cs="Times New Roman"/>
          <w:kern w:val="0"/>
          <w:sz w:val="30"/>
          <w:szCs w:val="30"/>
        </w:rPr>
        <w:t xml:space="preserve">) </w:t>
      </w:r>
      <w:r>
        <w:rPr>
          <w:rFonts w:ascii="Times New Roman" w:eastAsia="方正仿宋_GBK" w:hAnsi="Times New Roman" w:cs="Times New Roman"/>
          <w:kern w:val="0"/>
          <w:sz w:val="30"/>
          <w:szCs w:val="30"/>
        </w:rPr>
        <w:t>直接或者间接控制上市公司的法人或其他组织；</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w:t>
      </w:r>
      <w:r>
        <w:rPr>
          <w:rFonts w:ascii="Times New Roman" w:eastAsia="方正仿宋_GBK" w:hAnsi="Times New Roman" w:cs="Times New Roman"/>
          <w:kern w:val="0"/>
          <w:sz w:val="30"/>
          <w:szCs w:val="30"/>
        </w:rPr>
        <w:t>二</w:t>
      </w:r>
      <w:r>
        <w:rPr>
          <w:rFonts w:ascii="Times New Roman" w:eastAsia="方正仿宋_GBK" w:hAnsi="Times New Roman" w:cs="Times New Roman"/>
          <w:kern w:val="0"/>
          <w:sz w:val="30"/>
          <w:szCs w:val="30"/>
        </w:rPr>
        <w:t xml:space="preserve">) </w:t>
      </w:r>
      <w:r>
        <w:rPr>
          <w:rFonts w:ascii="Times New Roman" w:eastAsia="方正仿宋_GBK" w:hAnsi="Times New Roman" w:cs="Times New Roman"/>
          <w:kern w:val="0"/>
          <w:sz w:val="30"/>
          <w:szCs w:val="30"/>
        </w:rPr>
        <w:t>由上述第</w:t>
      </w:r>
      <w:r>
        <w:rPr>
          <w:rFonts w:ascii="Times New Roman" w:eastAsia="方正仿宋_GBK" w:hAnsi="Times New Roman" w:cs="Times New Roman"/>
          <w:kern w:val="0"/>
          <w:sz w:val="30"/>
          <w:szCs w:val="30"/>
        </w:rPr>
        <w:t>(</w:t>
      </w:r>
      <w:r>
        <w:rPr>
          <w:rFonts w:ascii="Times New Roman" w:eastAsia="方正仿宋_GBK" w:hAnsi="Times New Roman" w:cs="Times New Roman"/>
          <w:kern w:val="0"/>
          <w:sz w:val="30"/>
          <w:szCs w:val="30"/>
        </w:rPr>
        <w:t>一</w:t>
      </w:r>
      <w:r>
        <w:rPr>
          <w:rFonts w:ascii="Times New Roman" w:eastAsia="方正仿宋_GBK" w:hAnsi="Times New Roman" w:cs="Times New Roman"/>
          <w:kern w:val="0"/>
          <w:sz w:val="30"/>
          <w:szCs w:val="30"/>
        </w:rPr>
        <w:t>)</w:t>
      </w:r>
      <w:r>
        <w:rPr>
          <w:rFonts w:ascii="Times New Roman" w:eastAsia="方正仿宋_GBK" w:hAnsi="Times New Roman" w:cs="Times New Roman"/>
          <w:kern w:val="0"/>
          <w:sz w:val="30"/>
          <w:szCs w:val="30"/>
        </w:rPr>
        <w:t>项直接或者间接控制的除上市公司及其控股子公司以外的法人或其他组织；</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w:t>
      </w:r>
      <w:r>
        <w:rPr>
          <w:rFonts w:ascii="Times New Roman" w:eastAsia="方正仿宋_GBK" w:hAnsi="Times New Roman" w:cs="Times New Roman"/>
          <w:kern w:val="0"/>
          <w:sz w:val="30"/>
          <w:szCs w:val="30"/>
        </w:rPr>
        <w:t>三</w:t>
      </w:r>
      <w:r>
        <w:rPr>
          <w:rFonts w:ascii="Times New Roman" w:eastAsia="方正仿宋_GBK" w:hAnsi="Times New Roman" w:cs="Times New Roman"/>
          <w:kern w:val="0"/>
          <w:sz w:val="30"/>
          <w:szCs w:val="30"/>
        </w:rPr>
        <w:t xml:space="preserve">) </w:t>
      </w:r>
      <w:r>
        <w:rPr>
          <w:rFonts w:ascii="Times New Roman" w:eastAsia="方正仿宋_GBK" w:hAnsi="Times New Roman" w:cs="Times New Roman"/>
          <w:kern w:val="0"/>
          <w:sz w:val="30"/>
          <w:szCs w:val="30"/>
        </w:rPr>
        <w:t>由第</w:t>
      </w:r>
      <w:r>
        <w:rPr>
          <w:rFonts w:ascii="Times New Roman" w:eastAsia="方正仿宋_GBK" w:hAnsi="Times New Roman" w:cs="Times New Roman"/>
          <w:kern w:val="0"/>
          <w:sz w:val="30"/>
          <w:szCs w:val="30"/>
        </w:rPr>
        <w:t xml:space="preserve">10.1.5 </w:t>
      </w:r>
      <w:r>
        <w:rPr>
          <w:rFonts w:ascii="Times New Roman" w:eastAsia="方正仿宋_GBK" w:hAnsi="Times New Roman" w:cs="Times New Roman"/>
          <w:kern w:val="0"/>
          <w:sz w:val="30"/>
          <w:szCs w:val="30"/>
        </w:rPr>
        <w:t>条所列上市公司的关联自然人直接或者间接控制的，或者由关联自然人担任董事、高级管理人员的除上市公司及其控股子公司以外的法人或其他组织；</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w:t>
      </w:r>
      <w:r>
        <w:rPr>
          <w:rFonts w:ascii="Times New Roman" w:eastAsia="方正仿宋_GBK" w:hAnsi="Times New Roman" w:cs="Times New Roman"/>
          <w:kern w:val="0"/>
          <w:sz w:val="30"/>
          <w:szCs w:val="30"/>
        </w:rPr>
        <w:t>四</w:t>
      </w:r>
      <w:r>
        <w:rPr>
          <w:rFonts w:ascii="Times New Roman" w:eastAsia="方正仿宋_GBK" w:hAnsi="Times New Roman" w:cs="Times New Roman"/>
          <w:kern w:val="0"/>
          <w:sz w:val="30"/>
          <w:szCs w:val="30"/>
        </w:rPr>
        <w:t xml:space="preserve">) </w:t>
      </w:r>
      <w:r>
        <w:rPr>
          <w:rFonts w:ascii="Times New Roman" w:eastAsia="方正仿宋_GBK" w:hAnsi="Times New Roman" w:cs="Times New Roman"/>
          <w:kern w:val="0"/>
          <w:sz w:val="30"/>
          <w:szCs w:val="30"/>
        </w:rPr>
        <w:t>持有上市公司</w:t>
      </w:r>
      <w:r>
        <w:rPr>
          <w:rFonts w:ascii="Times New Roman" w:eastAsia="方正仿宋_GBK" w:hAnsi="Times New Roman" w:cs="Times New Roman"/>
          <w:kern w:val="0"/>
          <w:sz w:val="30"/>
          <w:szCs w:val="30"/>
        </w:rPr>
        <w:t>5%</w:t>
      </w:r>
      <w:r>
        <w:rPr>
          <w:rFonts w:ascii="Times New Roman" w:eastAsia="方正仿宋_GBK" w:hAnsi="Times New Roman" w:cs="Times New Roman"/>
          <w:kern w:val="0"/>
          <w:sz w:val="30"/>
          <w:szCs w:val="30"/>
        </w:rPr>
        <w:t>以上股份的法人或其他组织；</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w:t>
      </w:r>
      <w:r>
        <w:rPr>
          <w:rFonts w:ascii="Times New Roman" w:eastAsia="方正仿宋_GBK" w:hAnsi="Times New Roman" w:cs="Times New Roman"/>
          <w:kern w:val="0"/>
          <w:sz w:val="30"/>
          <w:szCs w:val="30"/>
        </w:rPr>
        <w:t>五</w:t>
      </w:r>
      <w:r>
        <w:rPr>
          <w:rFonts w:ascii="Times New Roman" w:eastAsia="方正仿宋_GBK" w:hAnsi="Times New Roman" w:cs="Times New Roman"/>
          <w:kern w:val="0"/>
          <w:sz w:val="30"/>
          <w:szCs w:val="30"/>
        </w:rPr>
        <w:t xml:space="preserve">) </w:t>
      </w:r>
      <w:r>
        <w:rPr>
          <w:rFonts w:ascii="Times New Roman" w:eastAsia="方正仿宋_GBK" w:hAnsi="Times New Roman" w:cs="Times New Roman"/>
          <w:kern w:val="0"/>
          <w:sz w:val="30"/>
          <w:szCs w:val="30"/>
        </w:rPr>
        <w:t>证监会、本所或者上市公司根据实质重于形式的原则认定的其他与上市公司有特殊关系，可能导致上市公司利益对其倾斜的法人或其他组织。</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 xml:space="preserve">10.1.4 </w:t>
      </w:r>
      <w:r>
        <w:rPr>
          <w:rFonts w:ascii="Times New Roman" w:eastAsia="方正仿宋_GBK" w:hAnsi="Times New Roman" w:cs="Times New Roman"/>
          <w:kern w:val="0"/>
          <w:sz w:val="30"/>
          <w:szCs w:val="30"/>
        </w:rPr>
        <w:t>上市公司与前条第</w:t>
      </w:r>
      <w:r>
        <w:rPr>
          <w:rFonts w:ascii="Times New Roman" w:eastAsia="方正仿宋_GBK" w:hAnsi="Times New Roman" w:cs="Times New Roman"/>
          <w:kern w:val="0"/>
          <w:sz w:val="30"/>
          <w:szCs w:val="30"/>
        </w:rPr>
        <w:t>(</w:t>
      </w:r>
      <w:r>
        <w:rPr>
          <w:rFonts w:ascii="Times New Roman" w:eastAsia="方正仿宋_GBK" w:hAnsi="Times New Roman" w:cs="Times New Roman"/>
          <w:kern w:val="0"/>
          <w:sz w:val="30"/>
          <w:szCs w:val="30"/>
        </w:rPr>
        <w:t>二</w:t>
      </w:r>
      <w:r>
        <w:rPr>
          <w:rFonts w:ascii="Times New Roman" w:eastAsia="方正仿宋_GBK" w:hAnsi="Times New Roman" w:cs="Times New Roman"/>
          <w:kern w:val="0"/>
          <w:sz w:val="30"/>
          <w:szCs w:val="30"/>
        </w:rPr>
        <w:t>)</w:t>
      </w:r>
      <w:r>
        <w:rPr>
          <w:rFonts w:ascii="Times New Roman" w:eastAsia="方正仿宋_GBK" w:hAnsi="Times New Roman" w:cs="Times New Roman"/>
          <w:kern w:val="0"/>
          <w:sz w:val="30"/>
          <w:szCs w:val="30"/>
        </w:rPr>
        <w:t>项所列法人受同一国有资产管理机构控制的，不因此而形成关联关系，但该法人的法定代表人、</w:t>
      </w:r>
      <w:r>
        <w:rPr>
          <w:rFonts w:ascii="Times New Roman" w:eastAsia="方正仿宋_GBK" w:hAnsi="Times New Roman" w:cs="Times New Roman"/>
          <w:kern w:val="0"/>
          <w:sz w:val="30"/>
          <w:szCs w:val="30"/>
        </w:rPr>
        <w:lastRenderedPageBreak/>
        <w:t>总经理或者半数以上的董事兼任上市公司董事、监事或者高级管理人员的除外。</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 xml:space="preserve">10.1.5 </w:t>
      </w:r>
      <w:r>
        <w:rPr>
          <w:rFonts w:ascii="Times New Roman" w:eastAsia="方正仿宋_GBK" w:hAnsi="Times New Roman" w:cs="Times New Roman"/>
          <w:kern w:val="0"/>
          <w:sz w:val="30"/>
          <w:szCs w:val="30"/>
        </w:rPr>
        <w:t>具有以下情形之一的自然人，为上市公司的关联自然人：</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w:t>
      </w:r>
      <w:r>
        <w:rPr>
          <w:rFonts w:ascii="Times New Roman" w:eastAsia="方正仿宋_GBK" w:hAnsi="Times New Roman" w:cs="Times New Roman"/>
          <w:kern w:val="0"/>
          <w:sz w:val="30"/>
          <w:szCs w:val="30"/>
        </w:rPr>
        <w:t>一</w:t>
      </w:r>
      <w:r>
        <w:rPr>
          <w:rFonts w:ascii="Times New Roman" w:eastAsia="方正仿宋_GBK" w:hAnsi="Times New Roman" w:cs="Times New Roman"/>
          <w:kern w:val="0"/>
          <w:sz w:val="30"/>
          <w:szCs w:val="30"/>
        </w:rPr>
        <w:t xml:space="preserve">) </w:t>
      </w:r>
      <w:r>
        <w:rPr>
          <w:rFonts w:ascii="Times New Roman" w:eastAsia="方正仿宋_GBK" w:hAnsi="Times New Roman" w:cs="Times New Roman"/>
          <w:kern w:val="0"/>
          <w:sz w:val="30"/>
          <w:szCs w:val="30"/>
        </w:rPr>
        <w:t>直接或间接持有上市公司</w:t>
      </w:r>
      <w:r>
        <w:rPr>
          <w:rFonts w:ascii="Times New Roman" w:eastAsia="方正仿宋_GBK" w:hAnsi="Times New Roman" w:cs="Times New Roman"/>
          <w:kern w:val="0"/>
          <w:sz w:val="30"/>
          <w:szCs w:val="30"/>
        </w:rPr>
        <w:t>5%</w:t>
      </w:r>
      <w:r>
        <w:rPr>
          <w:rFonts w:ascii="Times New Roman" w:eastAsia="方正仿宋_GBK" w:hAnsi="Times New Roman" w:cs="Times New Roman"/>
          <w:kern w:val="0"/>
          <w:sz w:val="30"/>
          <w:szCs w:val="30"/>
        </w:rPr>
        <w:t>以上股份的自然人；</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w:t>
      </w:r>
      <w:r>
        <w:rPr>
          <w:rFonts w:ascii="Times New Roman" w:eastAsia="方正仿宋_GBK" w:hAnsi="Times New Roman" w:cs="Times New Roman"/>
          <w:kern w:val="0"/>
          <w:sz w:val="30"/>
          <w:szCs w:val="30"/>
        </w:rPr>
        <w:t>二</w:t>
      </w:r>
      <w:r>
        <w:rPr>
          <w:rFonts w:ascii="Times New Roman" w:eastAsia="方正仿宋_GBK" w:hAnsi="Times New Roman" w:cs="Times New Roman"/>
          <w:kern w:val="0"/>
          <w:sz w:val="30"/>
          <w:szCs w:val="30"/>
        </w:rPr>
        <w:t xml:space="preserve">) </w:t>
      </w:r>
      <w:r>
        <w:rPr>
          <w:rFonts w:ascii="Times New Roman" w:eastAsia="方正仿宋_GBK" w:hAnsi="Times New Roman" w:cs="Times New Roman"/>
          <w:kern w:val="0"/>
          <w:sz w:val="30"/>
          <w:szCs w:val="30"/>
        </w:rPr>
        <w:t>上市公司董事、监事和高级管理人员；</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w:t>
      </w:r>
      <w:r>
        <w:rPr>
          <w:rFonts w:ascii="Times New Roman" w:eastAsia="方正仿宋_GBK" w:hAnsi="Times New Roman" w:cs="Times New Roman"/>
          <w:kern w:val="0"/>
          <w:sz w:val="30"/>
          <w:szCs w:val="30"/>
        </w:rPr>
        <w:t>三</w:t>
      </w:r>
      <w:r>
        <w:rPr>
          <w:rFonts w:ascii="Times New Roman" w:eastAsia="方正仿宋_GBK" w:hAnsi="Times New Roman" w:cs="Times New Roman"/>
          <w:kern w:val="0"/>
          <w:sz w:val="30"/>
          <w:szCs w:val="30"/>
        </w:rPr>
        <w:t xml:space="preserve">) </w:t>
      </w:r>
      <w:r>
        <w:rPr>
          <w:rFonts w:ascii="Times New Roman" w:eastAsia="方正仿宋_GBK" w:hAnsi="Times New Roman" w:cs="Times New Roman"/>
          <w:kern w:val="0"/>
          <w:sz w:val="30"/>
          <w:szCs w:val="30"/>
        </w:rPr>
        <w:t>第</w:t>
      </w:r>
      <w:r>
        <w:rPr>
          <w:rFonts w:ascii="Times New Roman" w:eastAsia="方正仿宋_GBK" w:hAnsi="Times New Roman" w:cs="Times New Roman"/>
          <w:kern w:val="0"/>
          <w:sz w:val="30"/>
          <w:szCs w:val="30"/>
        </w:rPr>
        <w:t xml:space="preserve">10.1.3 </w:t>
      </w:r>
      <w:r>
        <w:rPr>
          <w:rFonts w:ascii="Times New Roman" w:eastAsia="方正仿宋_GBK" w:hAnsi="Times New Roman" w:cs="Times New Roman"/>
          <w:kern w:val="0"/>
          <w:sz w:val="30"/>
          <w:szCs w:val="30"/>
        </w:rPr>
        <w:t>条第</w:t>
      </w:r>
      <w:r>
        <w:rPr>
          <w:rFonts w:ascii="Times New Roman" w:eastAsia="方正仿宋_GBK" w:hAnsi="Times New Roman" w:cs="Times New Roman"/>
          <w:kern w:val="0"/>
          <w:sz w:val="30"/>
          <w:szCs w:val="30"/>
        </w:rPr>
        <w:t>(</w:t>
      </w:r>
      <w:r>
        <w:rPr>
          <w:rFonts w:ascii="Times New Roman" w:eastAsia="方正仿宋_GBK" w:hAnsi="Times New Roman" w:cs="Times New Roman"/>
          <w:kern w:val="0"/>
          <w:sz w:val="30"/>
          <w:szCs w:val="30"/>
        </w:rPr>
        <w:t>一</w:t>
      </w:r>
      <w:r>
        <w:rPr>
          <w:rFonts w:ascii="Times New Roman" w:eastAsia="方正仿宋_GBK" w:hAnsi="Times New Roman" w:cs="Times New Roman"/>
          <w:kern w:val="0"/>
          <w:sz w:val="30"/>
          <w:szCs w:val="30"/>
        </w:rPr>
        <w:t>)</w:t>
      </w:r>
      <w:r>
        <w:rPr>
          <w:rFonts w:ascii="Times New Roman" w:eastAsia="方正仿宋_GBK" w:hAnsi="Times New Roman" w:cs="Times New Roman"/>
          <w:kern w:val="0"/>
          <w:sz w:val="30"/>
          <w:szCs w:val="30"/>
        </w:rPr>
        <w:t>项所列法人的董事、监事和高级管理人员；</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w:t>
      </w:r>
      <w:r>
        <w:rPr>
          <w:rFonts w:ascii="Times New Roman" w:eastAsia="方正仿宋_GBK" w:hAnsi="Times New Roman" w:cs="Times New Roman"/>
          <w:kern w:val="0"/>
          <w:sz w:val="30"/>
          <w:szCs w:val="30"/>
        </w:rPr>
        <w:t>四</w:t>
      </w:r>
      <w:r>
        <w:rPr>
          <w:rFonts w:ascii="Times New Roman" w:eastAsia="方正仿宋_GBK" w:hAnsi="Times New Roman" w:cs="Times New Roman"/>
          <w:kern w:val="0"/>
          <w:sz w:val="30"/>
          <w:szCs w:val="30"/>
        </w:rPr>
        <w:t xml:space="preserve">) </w:t>
      </w:r>
      <w:r>
        <w:rPr>
          <w:rFonts w:ascii="Times New Roman" w:eastAsia="方正仿宋_GBK" w:hAnsi="Times New Roman" w:cs="Times New Roman"/>
          <w:kern w:val="0"/>
          <w:sz w:val="30"/>
          <w:szCs w:val="30"/>
        </w:rPr>
        <w:t>本条第</w:t>
      </w:r>
      <w:r>
        <w:rPr>
          <w:rFonts w:ascii="Times New Roman" w:eastAsia="方正仿宋_GBK" w:hAnsi="Times New Roman" w:cs="Times New Roman"/>
          <w:kern w:val="0"/>
          <w:sz w:val="30"/>
          <w:szCs w:val="30"/>
        </w:rPr>
        <w:t>(</w:t>
      </w:r>
      <w:r>
        <w:rPr>
          <w:rFonts w:ascii="Times New Roman" w:eastAsia="方正仿宋_GBK" w:hAnsi="Times New Roman" w:cs="Times New Roman"/>
          <w:kern w:val="0"/>
          <w:sz w:val="30"/>
          <w:szCs w:val="30"/>
        </w:rPr>
        <w:t>一</w:t>
      </w:r>
      <w:r>
        <w:rPr>
          <w:rFonts w:ascii="Times New Roman" w:eastAsia="方正仿宋_GBK" w:hAnsi="Times New Roman" w:cs="Times New Roman"/>
          <w:kern w:val="0"/>
          <w:sz w:val="30"/>
          <w:szCs w:val="30"/>
        </w:rPr>
        <w:t>)</w:t>
      </w:r>
      <w:r>
        <w:rPr>
          <w:rFonts w:ascii="Times New Roman" w:eastAsia="方正仿宋_GBK" w:hAnsi="Times New Roman" w:cs="Times New Roman"/>
          <w:kern w:val="0"/>
          <w:sz w:val="30"/>
          <w:szCs w:val="30"/>
        </w:rPr>
        <w:t>项和第</w:t>
      </w:r>
      <w:r>
        <w:rPr>
          <w:rFonts w:ascii="Times New Roman" w:eastAsia="方正仿宋_GBK" w:hAnsi="Times New Roman" w:cs="Times New Roman"/>
          <w:kern w:val="0"/>
          <w:sz w:val="30"/>
          <w:szCs w:val="30"/>
        </w:rPr>
        <w:t>(</w:t>
      </w:r>
      <w:r>
        <w:rPr>
          <w:rFonts w:ascii="Times New Roman" w:eastAsia="方正仿宋_GBK" w:hAnsi="Times New Roman" w:cs="Times New Roman"/>
          <w:kern w:val="0"/>
          <w:sz w:val="30"/>
          <w:szCs w:val="30"/>
        </w:rPr>
        <w:t>二</w:t>
      </w:r>
      <w:r>
        <w:rPr>
          <w:rFonts w:ascii="Times New Roman" w:eastAsia="方正仿宋_GBK" w:hAnsi="Times New Roman" w:cs="Times New Roman"/>
          <w:kern w:val="0"/>
          <w:sz w:val="30"/>
          <w:szCs w:val="30"/>
        </w:rPr>
        <w:t>)</w:t>
      </w:r>
      <w:r>
        <w:rPr>
          <w:rFonts w:ascii="Times New Roman" w:eastAsia="方正仿宋_GBK" w:hAnsi="Times New Roman" w:cs="Times New Roman"/>
          <w:kern w:val="0"/>
          <w:sz w:val="30"/>
          <w:szCs w:val="30"/>
        </w:rPr>
        <w:t>项所述人士的关系密切的家庭成员，包括配偶、年满</w:t>
      </w:r>
      <w:r>
        <w:rPr>
          <w:rFonts w:ascii="Times New Roman" w:eastAsia="方正仿宋_GBK" w:hAnsi="Times New Roman" w:cs="Times New Roman"/>
          <w:kern w:val="0"/>
          <w:sz w:val="30"/>
          <w:szCs w:val="30"/>
        </w:rPr>
        <w:t xml:space="preserve">18 </w:t>
      </w:r>
      <w:r>
        <w:rPr>
          <w:rFonts w:ascii="Times New Roman" w:eastAsia="方正仿宋_GBK" w:hAnsi="Times New Roman" w:cs="Times New Roman"/>
          <w:kern w:val="0"/>
          <w:sz w:val="30"/>
          <w:szCs w:val="30"/>
        </w:rPr>
        <w:t>周岁的子女及其配偶、父母及配偶的父母、兄弟姐妹及其配偶、配偶的兄弟姐妹、子女配偶的父母；</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w:t>
      </w:r>
      <w:r>
        <w:rPr>
          <w:rFonts w:ascii="Times New Roman" w:eastAsia="方正仿宋_GBK" w:hAnsi="Times New Roman" w:cs="Times New Roman"/>
          <w:kern w:val="0"/>
          <w:sz w:val="30"/>
          <w:szCs w:val="30"/>
        </w:rPr>
        <w:t>五</w:t>
      </w:r>
      <w:r>
        <w:rPr>
          <w:rFonts w:ascii="Times New Roman" w:eastAsia="方正仿宋_GBK" w:hAnsi="Times New Roman" w:cs="Times New Roman"/>
          <w:kern w:val="0"/>
          <w:sz w:val="30"/>
          <w:szCs w:val="30"/>
        </w:rPr>
        <w:t xml:space="preserve">) </w:t>
      </w:r>
      <w:r>
        <w:rPr>
          <w:rFonts w:ascii="Times New Roman" w:eastAsia="方正仿宋_GBK" w:hAnsi="Times New Roman" w:cs="Times New Roman"/>
          <w:kern w:val="0"/>
          <w:sz w:val="30"/>
          <w:szCs w:val="30"/>
        </w:rPr>
        <w:t>证监会、本所或者上市公司根据实质重于形式的原则认定的其他与上市公司有特殊关系，可能导致上市公司利益对其倾斜的自然人。</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 xml:space="preserve">10.1.6 </w:t>
      </w:r>
      <w:r>
        <w:rPr>
          <w:rFonts w:ascii="Times New Roman" w:eastAsia="方正仿宋_GBK" w:hAnsi="Times New Roman" w:cs="Times New Roman"/>
          <w:kern w:val="0"/>
          <w:sz w:val="30"/>
          <w:szCs w:val="30"/>
        </w:rPr>
        <w:t>具有以下情形之一的法人或其他组织或者自然人，视同为上市公司的关联人：</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w:t>
      </w:r>
      <w:r>
        <w:rPr>
          <w:rFonts w:ascii="Times New Roman" w:eastAsia="方正仿宋_GBK" w:hAnsi="Times New Roman" w:cs="Times New Roman"/>
          <w:kern w:val="0"/>
          <w:sz w:val="30"/>
          <w:szCs w:val="30"/>
        </w:rPr>
        <w:t>一</w:t>
      </w:r>
      <w:r>
        <w:rPr>
          <w:rFonts w:ascii="Times New Roman" w:eastAsia="方正仿宋_GBK" w:hAnsi="Times New Roman" w:cs="Times New Roman"/>
          <w:kern w:val="0"/>
          <w:sz w:val="30"/>
          <w:szCs w:val="30"/>
        </w:rPr>
        <w:t xml:space="preserve">) </w:t>
      </w:r>
      <w:r>
        <w:rPr>
          <w:rFonts w:ascii="Times New Roman" w:eastAsia="方正仿宋_GBK" w:hAnsi="Times New Roman" w:cs="Times New Roman"/>
          <w:kern w:val="0"/>
          <w:sz w:val="30"/>
          <w:szCs w:val="30"/>
        </w:rPr>
        <w:t>根据与上市公司或者其关联人签署的协议或者作出的安排，在协议或者安排生效后，或在未来十二个月内，将具有第</w:t>
      </w:r>
      <w:r>
        <w:rPr>
          <w:rFonts w:ascii="Times New Roman" w:eastAsia="方正仿宋_GBK" w:hAnsi="Times New Roman" w:cs="Times New Roman"/>
          <w:kern w:val="0"/>
          <w:sz w:val="30"/>
          <w:szCs w:val="30"/>
        </w:rPr>
        <w:t xml:space="preserve">10.1.3 </w:t>
      </w:r>
      <w:r>
        <w:rPr>
          <w:rFonts w:ascii="Times New Roman" w:eastAsia="方正仿宋_GBK" w:hAnsi="Times New Roman" w:cs="Times New Roman"/>
          <w:kern w:val="0"/>
          <w:sz w:val="30"/>
          <w:szCs w:val="30"/>
        </w:rPr>
        <w:t>条或者第</w:t>
      </w:r>
      <w:r>
        <w:rPr>
          <w:rFonts w:ascii="Times New Roman" w:eastAsia="方正仿宋_GBK" w:hAnsi="Times New Roman" w:cs="Times New Roman"/>
          <w:kern w:val="0"/>
          <w:sz w:val="30"/>
          <w:szCs w:val="30"/>
        </w:rPr>
        <w:t>10.1.5</w:t>
      </w:r>
      <w:r>
        <w:rPr>
          <w:rFonts w:ascii="Times New Roman" w:eastAsia="方正仿宋_GBK" w:hAnsi="Times New Roman" w:cs="Times New Roman"/>
          <w:kern w:val="0"/>
          <w:sz w:val="30"/>
          <w:szCs w:val="30"/>
        </w:rPr>
        <w:t>条规定的情形之一；</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w:t>
      </w:r>
      <w:r>
        <w:rPr>
          <w:rFonts w:ascii="Times New Roman" w:eastAsia="方正仿宋_GBK" w:hAnsi="Times New Roman" w:cs="Times New Roman"/>
          <w:kern w:val="0"/>
          <w:sz w:val="30"/>
          <w:szCs w:val="30"/>
        </w:rPr>
        <w:t>二</w:t>
      </w:r>
      <w:r>
        <w:rPr>
          <w:rFonts w:ascii="Times New Roman" w:eastAsia="方正仿宋_GBK" w:hAnsi="Times New Roman" w:cs="Times New Roman"/>
          <w:kern w:val="0"/>
          <w:sz w:val="30"/>
          <w:szCs w:val="30"/>
        </w:rPr>
        <w:t xml:space="preserve">) </w:t>
      </w:r>
      <w:r>
        <w:rPr>
          <w:rFonts w:ascii="Times New Roman" w:eastAsia="方正仿宋_GBK" w:hAnsi="Times New Roman" w:cs="Times New Roman"/>
          <w:kern w:val="0"/>
          <w:sz w:val="30"/>
          <w:szCs w:val="30"/>
        </w:rPr>
        <w:t>过去十二个月内，曾经具有第</w:t>
      </w:r>
      <w:r>
        <w:rPr>
          <w:rFonts w:ascii="Times New Roman" w:eastAsia="方正仿宋_GBK" w:hAnsi="Times New Roman" w:cs="Times New Roman"/>
          <w:kern w:val="0"/>
          <w:sz w:val="30"/>
          <w:szCs w:val="30"/>
        </w:rPr>
        <w:t xml:space="preserve">10.1.3 </w:t>
      </w:r>
      <w:r>
        <w:rPr>
          <w:rFonts w:ascii="Times New Roman" w:eastAsia="方正仿宋_GBK" w:hAnsi="Times New Roman" w:cs="Times New Roman"/>
          <w:kern w:val="0"/>
          <w:sz w:val="30"/>
          <w:szCs w:val="30"/>
        </w:rPr>
        <w:t>条或者第</w:t>
      </w:r>
      <w:r>
        <w:rPr>
          <w:rFonts w:ascii="Times New Roman" w:eastAsia="方正仿宋_GBK" w:hAnsi="Times New Roman" w:cs="Times New Roman"/>
          <w:kern w:val="0"/>
          <w:sz w:val="30"/>
          <w:szCs w:val="30"/>
        </w:rPr>
        <w:t xml:space="preserve">10.1.5 </w:t>
      </w:r>
      <w:r>
        <w:rPr>
          <w:rFonts w:ascii="Times New Roman" w:eastAsia="方正仿宋_GBK" w:hAnsi="Times New Roman" w:cs="Times New Roman"/>
          <w:kern w:val="0"/>
          <w:sz w:val="30"/>
          <w:szCs w:val="30"/>
        </w:rPr>
        <w:t>条规定的情形之一。</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 xml:space="preserve">18.3 </w:t>
      </w:r>
      <w:r>
        <w:rPr>
          <w:rFonts w:ascii="Times New Roman" w:eastAsia="方正仿宋_GBK" w:hAnsi="Times New Roman" w:cs="Times New Roman"/>
          <w:kern w:val="0"/>
          <w:sz w:val="30"/>
          <w:szCs w:val="30"/>
        </w:rPr>
        <w:t>本办法所称</w:t>
      </w:r>
      <w:r>
        <w:rPr>
          <w:rFonts w:ascii="Times New Roman" w:eastAsia="方正仿宋_GBK" w:hAnsi="Times New Roman" w:cs="Times New Roman"/>
          <w:kern w:val="0"/>
          <w:sz w:val="30"/>
          <w:szCs w:val="30"/>
        </w:rPr>
        <w:t>“</w:t>
      </w:r>
      <w:r>
        <w:rPr>
          <w:rFonts w:ascii="Times New Roman" w:eastAsia="方正仿宋_GBK" w:hAnsi="Times New Roman" w:cs="Times New Roman"/>
          <w:kern w:val="0"/>
          <w:sz w:val="30"/>
          <w:szCs w:val="30"/>
        </w:rPr>
        <w:t>以上</w:t>
      </w:r>
      <w:r>
        <w:rPr>
          <w:rFonts w:ascii="Times New Roman" w:eastAsia="方正仿宋_GBK" w:hAnsi="Times New Roman" w:cs="Times New Roman"/>
          <w:kern w:val="0"/>
          <w:sz w:val="30"/>
          <w:szCs w:val="30"/>
        </w:rPr>
        <w:t>”</w:t>
      </w:r>
      <w:r>
        <w:rPr>
          <w:rFonts w:ascii="Times New Roman" w:eastAsia="方正仿宋_GBK" w:hAnsi="Times New Roman" w:cs="Times New Roman"/>
          <w:kern w:val="0"/>
          <w:sz w:val="30"/>
          <w:szCs w:val="30"/>
        </w:rPr>
        <w:t>，</w:t>
      </w:r>
      <w:r>
        <w:rPr>
          <w:rFonts w:ascii="Times New Roman" w:eastAsia="方正仿宋_GBK" w:hAnsi="Times New Roman" w:cs="Times New Roman"/>
          <w:kern w:val="0"/>
          <w:sz w:val="30"/>
          <w:szCs w:val="30"/>
        </w:rPr>
        <w:t>“</w:t>
      </w:r>
      <w:r>
        <w:rPr>
          <w:rFonts w:ascii="Times New Roman" w:eastAsia="方正仿宋_GBK" w:hAnsi="Times New Roman" w:cs="Times New Roman"/>
          <w:kern w:val="0"/>
          <w:sz w:val="30"/>
          <w:szCs w:val="30"/>
        </w:rPr>
        <w:t>以内</w:t>
      </w:r>
      <w:r>
        <w:rPr>
          <w:rFonts w:ascii="Times New Roman" w:eastAsia="方正仿宋_GBK" w:hAnsi="Times New Roman" w:cs="Times New Roman"/>
          <w:kern w:val="0"/>
          <w:sz w:val="30"/>
          <w:szCs w:val="30"/>
        </w:rPr>
        <w:t>”</w:t>
      </w:r>
      <w:r>
        <w:rPr>
          <w:rFonts w:ascii="Times New Roman" w:eastAsia="方正仿宋_GBK" w:hAnsi="Times New Roman" w:cs="Times New Roman"/>
          <w:kern w:val="0"/>
          <w:sz w:val="30"/>
          <w:szCs w:val="30"/>
        </w:rPr>
        <w:t>含本数。</w:t>
      </w:r>
    </w:p>
    <w:p w:rsidR="00F43A36" w:rsidRDefault="00061A8A">
      <w:pPr>
        <w:autoSpaceDE w:val="0"/>
        <w:autoSpaceDN w:val="0"/>
        <w:adjustRightInd w:val="0"/>
        <w:spacing w:line="560" w:lineRule="exact"/>
        <w:ind w:firstLineChars="200" w:firstLine="602"/>
        <w:jc w:val="left"/>
        <w:rPr>
          <w:rFonts w:ascii="Times New Roman" w:eastAsia="方正仿宋_GBK" w:hAnsi="Times New Roman" w:cs="Times New Roman"/>
          <w:b/>
          <w:bCs/>
          <w:kern w:val="0"/>
          <w:sz w:val="30"/>
          <w:szCs w:val="30"/>
        </w:rPr>
      </w:pPr>
      <w:r>
        <w:rPr>
          <w:rFonts w:ascii="Times New Roman" w:eastAsia="方正仿宋_GBK" w:hAnsi="Times New Roman" w:cs="Times New Roman"/>
          <w:b/>
          <w:bCs/>
          <w:kern w:val="0"/>
          <w:sz w:val="30"/>
          <w:szCs w:val="30"/>
        </w:rPr>
        <w:t>《上海证券交易所上市公司关联交易实施指引》定义的关联方：</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lastRenderedPageBreak/>
        <w:t>第七条</w:t>
      </w:r>
      <w:r>
        <w:rPr>
          <w:rFonts w:ascii="Times New Roman" w:eastAsia="方正仿宋_GBK" w:hAnsi="Times New Roman" w:cs="Times New Roman" w:hint="eastAsia"/>
          <w:kern w:val="0"/>
          <w:sz w:val="30"/>
          <w:szCs w:val="30"/>
        </w:rPr>
        <w:t xml:space="preserve">  </w:t>
      </w:r>
      <w:r>
        <w:rPr>
          <w:rFonts w:ascii="Times New Roman" w:eastAsia="方正仿宋_GBK" w:hAnsi="Times New Roman" w:cs="Times New Roman"/>
          <w:kern w:val="0"/>
          <w:sz w:val="30"/>
          <w:szCs w:val="30"/>
        </w:rPr>
        <w:t>上市公司的关联人包括关联法人和关联自然人。</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第八条</w:t>
      </w:r>
      <w:r>
        <w:rPr>
          <w:rFonts w:ascii="Times New Roman" w:eastAsia="方正仿宋_GBK" w:hAnsi="Times New Roman" w:cs="Times New Roman" w:hint="eastAsia"/>
          <w:kern w:val="0"/>
          <w:sz w:val="30"/>
          <w:szCs w:val="30"/>
        </w:rPr>
        <w:t xml:space="preserve">  </w:t>
      </w:r>
      <w:r>
        <w:rPr>
          <w:rFonts w:ascii="Times New Roman" w:eastAsia="方正仿宋_GBK" w:hAnsi="Times New Roman" w:cs="Times New Roman"/>
          <w:kern w:val="0"/>
          <w:sz w:val="30"/>
          <w:szCs w:val="30"/>
        </w:rPr>
        <w:t>具有以下情形之一的法人或其他组织，为上市公司的关联法人：</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（一）直接或者间接控制上市公司的法人或其他组织；</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（二）由上述第（一）项所列主体直接或者间接控制的除上市公司及其控股子公司以外的法人或其他组织；</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（三）由第十条所列上市公司的关联自然人直接或者间接控制的，或者由关联自然人担任董事、高级管理人员的除上市公司及其控股子公司以外的法人或其他组织；</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（四）持有上市公司</w:t>
      </w:r>
      <w:r>
        <w:rPr>
          <w:rFonts w:ascii="Times New Roman" w:eastAsia="方正仿宋_GBK" w:hAnsi="Times New Roman" w:cs="Times New Roman"/>
          <w:kern w:val="0"/>
          <w:sz w:val="30"/>
          <w:szCs w:val="30"/>
        </w:rPr>
        <w:t>5%</w:t>
      </w:r>
      <w:r>
        <w:rPr>
          <w:rFonts w:ascii="Times New Roman" w:eastAsia="方正仿宋_GBK" w:hAnsi="Times New Roman" w:cs="Times New Roman"/>
          <w:kern w:val="0"/>
          <w:sz w:val="30"/>
          <w:szCs w:val="30"/>
        </w:rPr>
        <w:t>以上股份的法人或其他组织；</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（五）本所根据实质重于形式原则认定的其他与上市公司有特殊关系，可能导致上市公司利益对其倾斜的法人或其他组织，包括持有对上市公司具有重要影响的控股子公司</w:t>
      </w:r>
      <w:r>
        <w:rPr>
          <w:rFonts w:ascii="Times New Roman" w:eastAsia="方正仿宋_GBK" w:hAnsi="Times New Roman" w:cs="Times New Roman"/>
          <w:kern w:val="0"/>
          <w:sz w:val="30"/>
          <w:szCs w:val="30"/>
        </w:rPr>
        <w:t>10%</w:t>
      </w:r>
      <w:r>
        <w:rPr>
          <w:rFonts w:ascii="Times New Roman" w:eastAsia="方正仿宋_GBK" w:hAnsi="Times New Roman" w:cs="Times New Roman"/>
          <w:kern w:val="0"/>
          <w:sz w:val="30"/>
          <w:szCs w:val="30"/>
        </w:rPr>
        <w:t>以上股份的法人或其他组织等。</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第九条</w:t>
      </w:r>
      <w:r>
        <w:rPr>
          <w:rFonts w:ascii="Times New Roman" w:eastAsia="方正仿宋_GBK" w:hAnsi="Times New Roman" w:cs="Times New Roman" w:hint="eastAsia"/>
          <w:kern w:val="0"/>
          <w:sz w:val="30"/>
          <w:szCs w:val="30"/>
        </w:rPr>
        <w:t xml:space="preserve">  </w:t>
      </w:r>
      <w:r>
        <w:rPr>
          <w:rFonts w:ascii="Times New Roman" w:eastAsia="方正仿宋_GBK" w:hAnsi="Times New Roman" w:cs="Times New Roman"/>
          <w:kern w:val="0"/>
          <w:sz w:val="30"/>
          <w:szCs w:val="30"/>
        </w:rPr>
        <w:t>上市公司与前条第（二）项所列主体受同一国有资产管理机构控制的，不因此而形成关联关系，但该主体的法定代表人、总经理或者半数以上的董事兼任上市公司董事、监事或者高级管理人员的除外。</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第十条</w:t>
      </w:r>
      <w:r>
        <w:rPr>
          <w:rFonts w:ascii="Times New Roman" w:eastAsia="方正仿宋_GBK" w:hAnsi="Times New Roman" w:cs="Times New Roman" w:hint="eastAsia"/>
          <w:kern w:val="0"/>
          <w:sz w:val="30"/>
          <w:szCs w:val="30"/>
        </w:rPr>
        <w:t xml:space="preserve">  </w:t>
      </w:r>
      <w:r>
        <w:rPr>
          <w:rFonts w:ascii="Times New Roman" w:eastAsia="方正仿宋_GBK" w:hAnsi="Times New Roman" w:cs="Times New Roman"/>
          <w:kern w:val="0"/>
          <w:sz w:val="30"/>
          <w:szCs w:val="30"/>
        </w:rPr>
        <w:t>具有以下情形之一的自然人，为上市公司的关联自然人：</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（一）直接或间接持有上市公司</w:t>
      </w:r>
      <w:r>
        <w:rPr>
          <w:rFonts w:ascii="Times New Roman" w:eastAsia="方正仿宋_GBK" w:hAnsi="Times New Roman" w:cs="Times New Roman"/>
          <w:kern w:val="0"/>
          <w:sz w:val="30"/>
          <w:szCs w:val="30"/>
        </w:rPr>
        <w:t>5</w:t>
      </w:r>
      <w:r>
        <w:rPr>
          <w:rFonts w:ascii="Times New Roman" w:eastAsia="方正仿宋_GBK" w:hAnsi="Times New Roman" w:cs="Times New Roman"/>
          <w:kern w:val="0"/>
          <w:sz w:val="30"/>
          <w:szCs w:val="30"/>
        </w:rPr>
        <w:t>％以上股份的自然人；</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（二）上市公司董事、监事和高级管理人员；</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（三）第八条第（一）项所列关联法人的董事、监事和高级管理人员；</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lastRenderedPageBreak/>
        <w:t>（四）本条第（一）项和第（二）项所述人士的关系密切的家庭成员；</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（五）本所根据实质重于形式原则认定的其他与上市公司有特殊关系，可能导致上市公司利益对其倾斜的自然人，包括持有对上市公司具有重要影响的控股子公司</w:t>
      </w:r>
      <w:r>
        <w:rPr>
          <w:rFonts w:ascii="Times New Roman" w:eastAsia="方正仿宋_GBK" w:hAnsi="Times New Roman" w:cs="Times New Roman"/>
          <w:kern w:val="0"/>
          <w:sz w:val="30"/>
          <w:szCs w:val="30"/>
        </w:rPr>
        <w:t>10%</w:t>
      </w:r>
      <w:r>
        <w:rPr>
          <w:rFonts w:ascii="Times New Roman" w:eastAsia="方正仿宋_GBK" w:hAnsi="Times New Roman" w:cs="Times New Roman"/>
          <w:kern w:val="0"/>
          <w:sz w:val="30"/>
          <w:szCs w:val="30"/>
        </w:rPr>
        <w:t>以上股份的自然人等。</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第十一条</w:t>
      </w:r>
      <w:r>
        <w:rPr>
          <w:rFonts w:ascii="Times New Roman" w:eastAsia="方正仿宋_GBK" w:hAnsi="Times New Roman" w:cs="Times New Roman" w:hint="eastAsia"/>
          <w:kern w:val="0"/>
          <w:sz w:val="30"/>
          <w:szCs w:val="30"/>
        </w:rPr>
        <w:t xml:space="preserve">  </w:t>
      </w:r>
      <w:r>
        <w:rPr>
          <w:rFonts w:ascii="Times New Roman" w:eastAsia="方正仿宋_GBK" w:hAnsi="Times New Roman" w:cs="Times New Roman"/>
          <w:kern w:val="0"/>
          <w:sz w:val="30"/>
          <w:szCs w:val="30"/>
        </w:rPr>
        <w:t>具有以下情形之一的法人、其他组织或者自然人，视同上市公司的关联人：</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（一）根据与上市公司或者其关联人签署的协议或者作出的安排，在协议或者安排生效后，或在未来十二个月内，将具有第八条或者第十条规定的情形之一；</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（二）过去十二个月内，曾经具有第八条或者第十条规定的情形之一。</w:t>
      </w:r>
    </w:p>
    <w:p w:rsidR="00F43A36" w:rsidRDefault="00061A8A">
      <w:pPr>
        <w:autoSpaceDE w:val="0"/>
        <w:autoSpaceDN w:val="0"/>
        <w:adjustRightInd w:val="0"/>
        <w:spacing w:line="560" w:lineRule="exact"/>
        <w:ind w:firstLineChars="200" w:firstLine="600"/>
        <w:jc w:val="left"/>
        <w:rPr>
          <w:rFonts w:ascii="黑体" w:eastAsia="黑体" w:hAnsi="黑体" w:cs="Times New Roman"/>
          <w:bCs/>
          <w:kern w:val="0"/>
          <w:sz w:val="30"/>
          <w:szCs w:val="30"/>
        </w:rPr>
      </w:pPr>
      <w:r>
        <w:rPr>
          <w:rFonts w:ascii="黑体" w:eastAsia="黑体" w:hAnsi="黑体" w:cs="Times New Roman"/>
          <w:bCs/>
          <w:kern w:val="0"/>
          <w:sz w:val="30"/>
          <w:szCs w:val="30"/>
        </w:rPr>
        <w:t>四、香港联交所《上市规则》定义的关连方如下：</w:t>
      </w:r>
    </w:p>
    <w:p w:rsidR="00F43A36" w:rsidRDefault="00061A8A">
      <w:pPr>
        <w:autoSpaceDE w:val="0"/>
        <w:autoSpaceDN w:val="0"/>
        <w:adjustRightInd w:val="0"/>
        <w:spacing w:line="560" w:lineRule="exact"/>
        <w:ind w:firstLineChars="200" w:firstLine="602"/>
        <w:rPr>
          <w:rFonts w:ascii="Times New Roman" w:eastAsia="方正仿宋_GBK" w:hAnsi="Times New Roman" w:cs="Times New Roman"/>
          <w:b/>
          <w:kern w:val="0"/>
          <w:sz w:val="30"/>
          <w:szCs w:val="30"/>
        </w:rPr>
      </w:pPr>
      <w:r>
        <w:rPr>
          <w:rFonts w:ascii="Times New Roman" w:eastAsia="方正仿宋_GBK" w:hAnsi="Times New Roman" w:cs="Times New Roman"/>
          <w:b/>
          <w:kern w:val="0"/>
          <w:sz w:val="30"/>
          <w:szCs w:val="30"/>
        </w:rPr>
        <w:t>（一）第</w:t>
      </w:r>
      <w:r>
        <w:rPr>
          <w:rFonts w:ascii="Times New Roman" w:eastAsia="方正仿宋_GBK" w:hAnsi="Times New Roman" w:cs="Times New Roman"/>
          <w:b/>
          <w:kern w:val="0"/>
          <w:sz w:val="30"/>
          <w:szCs w:val="30"/>
        </w:rPr>
        <w:t xml:space="preserve">14 </w:t>
      </w:r>
      <w:r>
        <w:rPr>
          <w:rFonts w:ascii="Times New Roman" w:eastAsia="方正仿宋_GBK" w:hAnsi="Times New Roman" w:cs="Times New Roman"/>
          <w:b/>
          <w:kern w:val="0"/>
          <w:sz w:val="30"/>
          <w:szCs w:val="30"/>
        </w:rPr>
        <w:t>章的有关规定</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 xml:space="preserve">14.04 </w:t>
      </w:r>
      <w:r>
        <w:rPr>
          <w:rFonts w:ascii="Times New Roman" w:eastAsia="方正仿宋_GBK" w:hAnsi="Times New Roman" w:cs="Times New Roman"/>
          <w:kern w:val="0"/>
          <w:sz w:val="30"/>
          <w:szCs w:val="30"/>
        </w:rPr>
        <w:t>（</w:t>
      </w:r>
      <w:r>
        <w:rPr>
          <w:rFonts w:ascii="Times New Roman" w:eastAsia="方正仿宋_GBK" w:hAnsi="Times New Roman" w:cs="Times New Roman"/>
          <w:kern w:val="0"/>
          <w:sz w:val="30"/>
          <w:szCs w:val="30"/>
        </w:rPr>
        <w:t>6</w:t>
      </w:r>
      <w:r>
        <w:rPr>
          <w:rFonts w:ascii="Times New Roman" w:eastAsia="方正仿宋_GBK" w:hAnsi="Times New Roman" w:cs="Times New Roman"/>
          <w:kern w:val="0"/>
          <w:sz w:val="30"/>
          <w:szCs w:val="30"/>
        </w:rPr>
        <w:t>）</w:t>
      </w:r>
      <w:r>
        <w:rPr>
          <w:rFonts w:ascii="Times New Roman" w:eastAsia="方正仿宋_GBK" w:hAnsi="Times New Roman" w:cs="Times New Roman"/>
          <w:kern w:val="0"/>
          <w:sz w:val="30"/>
          <w:szCs w:val="30"/>
        </w:rPr>
        <w:t xml:space="preserve"> </w:t>
      </w:r>
      <w:r>
        <w:rPr>
          <w:rFonts w:ascii="Times New Roman" w:eastAsia="方正仿宋_GBK" w:hAnsi="Times New Roman" w:cs="Times New Roman"/>
          <w:kern w:val="0"/>
          <w:sz w:val="30"/>
          <w:szCs w:val="30"/>
        </w:rPr>
        <w:t>「上市发行人」是指其证券已在主板上市的公司或其他法人，包括上市预托证券所代表股份所属的公司；除文意另有所指外，也包括其附属公司。</w:t>
      </w:r>
    </w:p>
    <w:p w:rsidR="00F43A36" w:rsidRDefault="00061A8A">
      <w:pPr>
        <w:autoSpaceDE w:val="0"/>
        <w:autoSpaceDN w:val="0"/>
        <w:adjustRightInd w:val="0"/>
        <w:spacing w:line="560" w:lineRule="exact"/>
        <w:ind w:firstLineChars="200" w:firstLine="602"/>
        <w:rPr>
          <w:rFonts w:ascii="Times New Roman" w:eastAsia="方正仿宋_GBK" w:hAnsi="Times New Roman" w:cs="Times New Roman"/>
          <w:b/>
          <w:kern w:val="0"/>
          <w:sz w:val="30"/>
          <w:szCs w:val="30"/>
        </w:rPr>
      </w:pPr>
      <w:r>
        <w:rPr>
          <w:rFonts w:ascii="Times New Roman" w:eastAsia="方正仿宋_GBK" w:hAnsi="Times New Roman" w:cs="Times New Roman"/>
          <w:b/>
          <w:kern w:val="0"/>
          <w:sz w:val="30"/>
          <w:szCs w:val="30"/>
        </w:rPr>
        <w:t>（二）第</w:t>
      </w:r>
      <w:r>
        <w:rPr>
          <w:rFonts w:ascii="Times New Roman" w:eastAsia="方正仿宋_GBK" w:hAnsi="Times New Roman" w:cs="Times New Roman"/>
          <w:b/>
          <w:kern w:val="0"/>
          <w:sz w:val="30"/>
          <w:szCs w:val="30"/>
        </w:rPr>
        <w:t xml:space="preserve">14A </w:t>
      </w:r>
      <w:r>
        <w:rPr>
          <w:rFonts w:ascii="Times New Roman" w:eastAsia="方正仿宋_GBK" w:hAnsi="Times New Roman" w:cs="Times New Roman"/>
          <w:b/>
          <w:kern w:val="0"/>
          <w:sz w:val="30"/>
          <w:szCs w:val="30"/>
        </w:rPr>
        <w:t>章的有关规定</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 xml:space="preserve">14A.07 </w:t>
      </w:r>
      <w:r>
        <w:rPr>
          <w:rFonts w:ascii="Times New Roman" w:eastAsia="方正仿宋_GBK" w:hAnsi="Times New Roman" w:cs="Times New Roman"/>
          <w:kern w:val="0"/>
          <w:sz w:val="30"/>
          <w:szCs w:val="30"/>
        </w:rPr>
        <w:t>「关连人士」指：</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 xml:space="preserve">(1) </w:t>
      </w:r>
      <w:r>
        <w:rPr>
          <w:rFonts w:ascii="Times New Roman" w:eastAsia="方正仿宋_GBK" w:hAnsi="Times New Roman" w:cs="Times New Roman"/>
          <w:kern w:val="0"/>
          <w:sz w:val="30"/>
          <w:szCs w:val="30"/>
        </w:rPr>
        <w:t>上市发行人或其任何附属公司的董事、最高行政人员或主要股东；</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 xml:space="preserve">(2) </w:t>
      </w:r>
      <w:r>
        <w:rPr>
          <w:rFonts w:ascii="Times New Roman" w:eastAsia="方正仿宋_GBK" w:hAnsi="Times New Roman" w:cs="Times New Roman"/>
          <w:kern w:val="0"/>
          <w:sz w:val="30"/>
          <w:szCs w:val="30"/>
        </w:rPr>
        <w:t>过去</w:t>
      </w:r>
      <w:r>
        <w:rPr>
          <w:rFonts w:ascii="Times New Roman" w:eastAsia="方正仿宋_GBK" w:hAnsi="Times New Roman" w:cs="Times New Roman"/>
          <w:kern w:val="0"/>
          <w:sz w:val="30"/>
          <w:szCs w:val="30"/>
        </w:rPr>
        <w:t>12</w:t>
      </w:r>
      <w:r>
        <w:rPr>
          <w:rFonts w:ascii="Times New Roman" w:eastAsia="方正仿宋_GBK" w:hAnsi="Times New Roman" w:cs="Times New Roman"/>
          <w:kern w:val="0"/>
          <w:sz w:val="30"/>
          <w:szCs w:val="30"/>
        </w:rPr>
        <w:t>个月曾任上市发行人或其任何附属公司董事的人士；</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lastRenderedPageBreak/>
        <w:t xml:space="preserve">(3) </w:t>
      </w:r>
      <w:r>
        <w:rPr>
          <w:rFonts w:ascii="Times New Roman" w:eastAsia="方正仿宋_GBK" w:hAnsi="Times New Roman" w:cs="Times New Roman"/>
          <w:kern w:val="0"/>
          <w:sz w:val="30"/>
          <w:szCs w:val="30"/>
        </w:rPr>
        <w:t>中国发行人或其任何附属公司的监事；</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 xml:space="preserve">(4) </w:t>
      </w:r>
      <w:r>
        <w:rPr>
          <w:rFonts w:ascii="Times New Roman" w:eastAsia="方正仿宋_GBK" w:hAnsi="Times New Roman" w:cs="Times New Roman"/>
          <w:kern w:val="0"/>
          <w:sz w:val="30"/>
          <w:szCs w:val="30"/>
        </w:rPr>
        <w:t>任何上述人士的联系人；</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 xml:space="preserve">(5) </w:t>
      </w:r>
      <w:r>
        <w:rPr>
          <w:rFonts w:ascii="Times New Roman" w:eastAsia="方正仿宋_GBK" w:hAnsi="Times New Roman" w:cs="Times New Roman"/>
          <w:kern w:val="0"/>
          <w:sz w:val="30"/>
          <w:szCs w:val="30"/>
        </w:rPr>
        <w:t>关连附属公司；或</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 xml:space="preserve">(6) </w:t>
      </w:r>
      <w:r>
        <w:rPr>
          <w:rFonts w:ascii="Times New Roman" w:eastAsia="方正仿宋_GBK" w:hAnsi="Times New Roman" w:cs="Times New Roman"/>
          <w:kern w:val="0"/>
          <w:sz w:val="30"/>
          <w:szCs w:val="30"/>
        </w:rPr>
        <w:t>被本交易所视为有关连的人士。</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 xml:space="preserve">14A.08 </w:t>
      </w:r>
      <w:r>
        <w:rPr>
          <w:rFonts w:ascii="Times New Roman" w:eastAsia="方正仿宋_GBK" w:hAnsi="Times New Roman" w:cs="Times New Roman"/>
          <w:kern w:val="0"/>
          <w:sz w:val="30"/>
          <w:szCs w:val="30"/>
        </w:rPr>
        <w:t>若上市发行人属根据《上市规则》第二十一章上市的投资公司，其关连人士亦包括投资经理、投资顾问或保管人（或上述任何人士的任何关连人士）。例外情况</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 xml:space="preserve">14A.09 </w:t>
      </w:r>
      <w:r>
        <w:rPr>
          <w:rFonts w:ascii="Times New Roman" w:eastAsia="方正仿宋_GBK" w:hAnsi="Times New Roman" w:cs="Times New Roman"/>
          <w:kern w:val="0"/>
          <w:sz w:val="30"/>
          <w:szCs w:val="30"/>
        </w:rPr>
        <w:t>《上市规则》第</w:t>
      </w:r>
      <w:r>
        <w:rPr>
          <w:rFonts w:ascii="Times New Roman" w:eastAsia="方正仿宋_GBK" w:hAnsi="Times New Roman" w:cs="Times New Roman"/>
          <w:kern w:val="0"/>
          <w:sz w:val="30"/>
          <w:szCs w:val="30"/>
        </w:rPr>
        <w:t>14A.07(1)</w:t>
      </w:r>
      <w:r>
        <w:rPr>
          <w:rFonts w:ascii="Times New Roman" w:eastAsia="方正仿宋_GBK" w:hAnsi="Times New Roman" w:cs="Times New Roman"/>
          <w:kern w:val="0"/>
          <w:sz w:val="30"/>
          <w:szCs w:val="30"/>
        </w:rPr>
        <w:t>至</w:t>
      </w:r>
      <w:r>
        <w:rPr>
          <w:rFonts w:ascii="Times New Roman" w:eastAsia="方正仿宋_GBK" w:hAnsi="Times New Roman" w:cs="Times New Roman"/>
          <w:kern w:val="0"/>
          <w:sz w:val="30"/>
          <w:szCs w:val="30"/>
        </w:rPr>
        <w:t>(3)</w:t>
      </w:r>
      <w:r>
        <w:rPr>
          <w:rFonts w:ascii="Times New Roman" w:eastAsia="方正仿宋_GBK" w:hAnsi="Times New Roman" w:cs="Times New Roman"/>
          <w:kern w:val="0"/>
          <w:sz w:val="30"/>
          <w:szCs w:val="30"/>
        </w:rPr>
        <w:t>条并不包括上市发行人旗下非重大附属公司的董事、最高行政人员、主要股东或监事。就此而言：</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 xml:space="preserve">(1) </w:t>
      </w:r>
      <w:r>
        <w:rPr>
          <w:rFonts w:ascii="Times New Roman" w:eastAsia="方正仿宋_GBK" w:hAnsi="Times New Roman" w:cs="Times New Roman"/>
          <w:kern w:val="0"/>
          <w:sz w:val="30"/>
          <w:szCs w:val="30"/>
        </w:rPr>
        <w:t>「非重大附属公司」指一家附属公司，其总资产、盈利及收益相较于上市发行人集团而言均符合以下条件：的有关百分比率少于</w:t>
      </w:r>
      <w:r>
        <w:rPr>
          <w:rFonts w:ascii="Times New Roman" w:eastAsia="方正仿宋_GBK" w:hAnsi="Times New Roman" w:cs="Times New Roman"/>
          <w:kern w:val="0"/>
          <w:sz w:val="30"/>
          <w:szCs w:val="30"/>
        </w:rPr>
        <w:t>5%</w:t>
      </w:r>
      <w:r>
        <w:rPr>
          <w:rFonts w:ascii="Times New Roman" w:eastAsia="方正仿宋_GBK" w:hAnsi="Times New Roman" w:cs="Times New Roman"/>
          <w:kern w:val="0"/>
          <w:sz w:val="30"/>
          <w:szCs w:val="30"/>
        </w:rPr>
        <w:t>；</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 xml:space="preserve">(2) </w:t>
      </w:r>
      <w:r>
        <w:rPr>
          <w:rFonts w:ascii="Times New Roman" w:eastAsia="方正仿宋_GBK" w:hAnsi="Times New Roman" w:cs="Times New Roman"/>
          <w:kern w:val="0"/>
          <w:sz w:val="30"/>
          <w:szCs w:val="30"/>
        </w:rPr>
        <w:t>如有关人士与上市发行人旗下两家或两家以上的附属公司有关连，本交易所会将该等附属公司的总资产、盈利及收益合计，以决定它们综合起来是否属上市发行人的「非重大附属公司」；及</w:t>
      </w:r>
      <w:r>
        <w:rPr>
          <w:rFonts w:ascii="Times New Roman" w:eastAsia="方正仿宋_GBK" w:hAnsi="Times New Roman" w:cs="Times New Roman"/>
          <w:kern w:val="0"/>
          <w:sz w:val="30"/>
          <w:szCs w:val="30"/>
        </w:rPr>
        <w:t xml:space="preserve">(3) </w:t>
      </w:r>
      <w:r>
        <w:rPr>
          <w:rFonts w:ascii="Times New Roman" w:eastAsia="方正仿宋_GBK" w:hAnsi="Times New Roman" w:cs="Times New Roman"/>
          <w:kern w:val="0"/>
          <w:sz w:val="30"/>
          <w:szCs w:val="30"/>
        </w:rPr>
        <w:t>计算相关的百分比率时，该等附属公司</w:t>
      </w:r>
      <w:r>
        <w:rPr>
          <w:rFonts w:ascii="Times New Roman" w:eastAsia="方正仿宋_GBK" w:hAnsi="Times New Roman" w:cs="Times New Roman"/>
          <w:kern w:val="0"/>
          <w:sz w:val="30"/>
          <w:szCs w:val="30"/>
        </w:rPr>
        <w:t>100%</w:t>
      </w:r>
      <w:r>
        <w:rPr>
          <w:rFonts w:ascii="Times New Roman" w:eastAsia="方正仿宋_GBK" w:hAnsi="Times New Roman" w:cs="Times New Roman"/>
          <w:kern w:val="0"/>
          <w:sz w:val="30"/>
          <w:szCs w:val="30"/>
        </w:rPr>
        <w:t>的总资产、盈利及收益会用作为计算基准。若计算出来的百分比率出现异常结果，本交易所或不予理会有关计算，而改为考虑上市发行人所提供的替代测试。</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 xml:space="preserve">14A.10 </w:t>
      </w:r>
      <w:r>
        <w:rPr>
          <w:rFonts w:ascii="Times New Roman" w:eastAsia="方正仿宋_GBK" w:hAnsi="Times New Roman" w:cs="Times New Roman"/>
          <w:kern w:val="0"/>
          <w:sz w:val="30"/>
          <w:szCs w:val="30"/>
        </w:rPr>
        <w:t>本交易所一般不会将中国政府机关视为关连人士。本交易所或会要求上市发行人解释其与某个中国政府机关之间的关系，以及不应将该政府机关视为关连人士之理由。若本交易所决定该中国政府机关应被视为关连人士，上市发行人必须遵守</w:t>
      </w:r>
      <w:r>
        <w:rPr>
          <w:rFonts w:ascii="Times New Roman" w:eastAsia="方正仿宋_GBK" w:hAnsi="Times New Roman" w:cs="Times New Roman"/>
          <w:kern w:val="0"/>
          <w:sz w:val="30"/>
          <w:szCs w:val="30"/>
        </w:rPr>
        <w:lastRenderedPageBreak/>
        <w:t>本交易所要求的任何附加规定。</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 xml:space="preserve">14A.11 </w:t>
      </w:r>
      <w:r>
        <w:rPr>
          <w:rFonts w:ascii="Times New Roman" w:eastAsia="方正仿宋_GBK" w:hAnsi="Times New Roman" w:cs="Times New Roman"/>
          <w:kern w:val="0"/>
          <w:sz w:val="30"/>
          <w:szCs w:val="30"/>
        </w:rPr>
        <w:t>就预托证券上市而言，以存管人身份持有上市发行人股份的人士不会被视为：</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 xml:space="preserve">(1) </w:t>
      </w:r>
      <w:r>
        <w:rPr>
          <w:rFonts w:ascii="Times New Roman" w:eastAsia="方正仿宋_GBK" w:hAnsi="Times New Roman" w:cs="Times New Roman"/>
          <w:kern w:val="0"/>
          <w:sz w:val="30"/>
          <w:szCs w:val="30"/>
        </w:rPr>
        <w:t>预托证券持有人的联系人；或</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 xml:space="preserve">(2) </w:t>
      </w:r>
      <w:r>
        <w:rPr>
          <w:rFonts w:ascii="Times New Roman" w:eastAsia="方正仿宋_GBK" w:hAnsi="Times New Roman" w:cs="Times New Roman"/>
          <w:kern w:val="0"/>
          <w:sz w:val="30"/>
          <w:szCs w:val="30"/>
        </w:rPr>
        <w:t>上市发行人的主要股东或控股股东。</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联系人的定义</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 xml:space="preserve">14A.12 </w:t>
      </w:r>
      <w:r>
        <w:rPr>
          <w:rFonts w:ascii="Times New Roman" w:eastAsia="方正仿宋_GBK" w:hAnsi="Times New Roman" w:cs="Times New Roman"/>
          <w:kern w:val="0"/>
          <w:sz w:val="30"/>
          <w:szCs w:val="30"/>
        </w:rPr>
        <w:t>《上市规则》第</w:t>
      </w:r>
      <w:r>
        <w:rPr>
          <w:rFonts w:ascii="Times New Roman" w:eastAsia="方正仿宋_GBK" w:hAnsi="Times New Roman" w:cs="Times New Roman"/>
          <w:kern w:val="0"/>
          <w:sz w:val="30"/>
          <w:szCs w:val="30"/>
        </w:rPr>
        <w:t>14A.07(1)</w:t>
      </w:r>
      <w:r>
        <w:rPr>
          <w:rFonts w:ascii="Times New Roman" w:eastAsia="方正仿宋_GBK" w:hAnsi="Times New Roman" w:cs="Times New Roman"/>
          <w:kern w:val="0"/>
          <w:sz w:val="30"/>
          <w:szCs w:val="30"/>
        </w:rPr>
        <w:t>、</w:t>
      </w:r>
      <w:r>
        <w:rPr>
          <w:rFonts w:ascii="Times New Roman" w:eastAsia="方正仿宋_GBK" w:hAnsi="Times New Roman" w:cs="Times New Roman"/>
          <w:kern w:val="0"/>
          <w:sz w:val="30"/>
          <w:szCs w:val="30"/>
        </w:rPr>
        <w:t>(2)</w:t>
      </w:r>
      <w:r>
        <w:rPr>
          <w:rFonts w:ascii="Times New Roman" w:eastAsia="方正仿宋_GBK" w:hAnsi="Times New Roman" w:cs="Times New Roman"/>
          <w:kern w:val="0"/>
          <w:sz w:val="30"/>
          <w:szCs w:val="30"/>
        </w:rPr>
        <w:t>或</w:t>
      </w:r>
      <w:r>
        <w:rPr>
          <w:rFonts w:ascii="Times New Roman" w:eastAsia="方正仿宋_GBK" w:hAnsi="Times New Roman" w:cs="Times New Roman"/>
          <w:kern w:val="0"/>
          <w:sz w:val="30"/>
          <w:szCs w:val="30"/>
        </w:rPr>
        <w:t>(3)</w:t>
      </w:r>
      <w:r>
        <w:rPr>
          <w:rFonts w:ascii="Times New Roman" w:eastAsia="方正仿宋_GBK" w:hAnsi="Times New Roman" w:cs="Times New Roman"/>
          <w:kern w:val="0"/>
          <w:sz w:val="30"/>
          <w:szCs w:val="30"/>
        </w:rPr>
        <w:t>条所述的关连人士之「联系人」（如关连人士是个人）包括：</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 xml:space="preserve">(1) (a) </w:t>
      </w:r>
      <w:r>
        <w:rPr>
          <w:rFonts w:ascii="Times New Roman" w:eastAsia="方正仿宋_GBK" w:hAnsi="Times New Roman" w:cs="Times New Roman"/>
          <w:kern w:val="0"/>
          <w:sz w:val="30"/>
          <w:szCs w:val="30"/>
        </w:rPr>
        <w:t>其配偶；其本人（或其配偶）未满</w:t>
      </w:r>
      <w:r>
        <w:rPr>
          <w:rFonts w:ascii="Times New Roman" w:eastAsia="方正仿宋_GBK" w:hAnsi="Times New Roman" w:cs="Times New Roman"/>
          <w:kern w:val="0"/>
          <w:sz w:val="30"/>
          <w:szCs w:val="30"/>
        </w:rPr>
        <w:t>18</w:t>
      </w:r>
      <w:r>
        <w:rPr>
          <w:rFonts w:ascii="Times New Roman" w:eastAsia="方正仿宋_GBK" w:hAnsi="Times New Roman" w:cs="Times New Roman"/>
          <w:kern w:val="0"/>
          <w:sz w:val="30"/>
          <w:szCs w:val="30"/>
        </w:rPr>
        <w:t>岁的（亲生或领养）子女或继子女（各称「直系家属」）；</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 xml:space="preserve">(b) </w:t>
      </w:r>
      <w:r>
        <w:rPr>
          <w:rFonts w:ascii="Times New Roman" w:eastAsia="方正仿宋_GBK" w:hAnsi="Times New Roman" w:cs="Times New Roman"/>
          <w:kern w:val="0"/>
          <w:sz w:val="30"/>
          <w:szCs w:val="30"/>
        </w:rPr>
        <w:t>以其本人或其直系家属为受益人（或如属全权信托，以其所知是全权托管的对象）的任何信托中，具有受托人身份的受托人（该信托不包括为广泛的参与者而成立的雇员股份计划或职业退休保障计划，而关连人士于该计划的合计权益少于</w:t>
      </w:r>
      <w:r>
        <w:rPr>
          <w:rFonts w:ascii="Times New Roman" w:eastAsia="方正仿宋_GBK" w:hAnsi="Times New Roman" w:cs="Times New Roman"/>
          <w:kern w:val="0"/>
          <w:sz w:val="30"/>
          <w:szCs w:val="30"/>
        </w:rPr>
        <w:t>30%</w:t>
      </w:r>
      <w:r>
        <w:rPr>
          <w:rFonts w:ascii="Times New Roman" w:eastAsia="方正仿宋_GBK" w:hAnsi="Times New Roman" w:cs="Times New Roman"/>
          <w:kern w:val="0"/>
          <w:sz w:val="30"/>
          <w:szCs w:val="30"/>
        </w:rPr>
        <w:t>）（「受托人」）；或</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 xml:space="preserve">(c) </w:t>
      </w:r>
      <w:r>
        <w:rPr>
          <w:rFonts w:ascii="Times New Roman" w:eastAsia="方正仿宋_GBK" w:hAnsi="Times New Roman" w:cs="Times New Roman"/>
          <w:kern w:val="0"/>
          <w:sz w:val="30"/>
          <w:szCs w:val="30"/>
        </w:rPr>
        <w:t>其本人、其直系家属及</w:t>
      </w:r>
      <w:r>
        <w:rPr>
          <w:rFonts w:ascii="宋体" w:eastAsia="宋体" w:hAnsi="宋体" w:cs="宋体" w:hint="eastAsia"/>
          <w:kern w:val="0"/>
          <w:sz w:val="30"/>
          <w:szCs w:val="30"/>
        </w:rPr>
        <w:t>╱</w:t>
      </w:r>
      <w:r>
        <w:rPr>
          <w:rFonts w:ascii="Times New Roman" w:eastAsia="方正仿宋_GBK" w:hAnsi="Times New Roman" w:cs="Times New Roman"/>
          <w:kern w:val="0"/>
          <w:sz w:val="30"/>
          <w:szCs w:val="30"/>
        </w:rPr>
        <w:t>或受托人（个别或共同）直接或间接持有的</w:t>
      </w:r>
      <w:r>
        <w:rPr>
          <w:rFonts w:ascii="Times New Roman" w:eastAsia="方正仿宋_GBK" w:hAnsi="Times New Roman" w:cs="Times New Roman"/>
          <w:kern w:val="0"/>
          <w:sz w:val="30"/>
          <w:szCs w:val="30"/>
        </w:rPr>
        <w:t>30%</w:t>
      </w:r>
      <w:r>
        <w:rPr>
          <w:rFonts w:ascii="Times New Roman" w:eastAsia="方正仿宋_GBK" w:hAnsi="Times New Roman" w:cs="Times New Roman"/>
          <w:kern w:val="0"/>
          <w:sz w:val="30"/>
          <w:szCs w:val="30"/>
        </w:rPr>
        <w:t>受控公司，或该公司旗下任何附属公司；或</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 xml:space="preserve">(2) (a) </w:t>
      </w:r>
      <w:r>
        <w:rPr>
          <w:rFonts w:ascii="Times New Roman" w:eastAsia="方正仿宋_GBK" w:hAnsi="Times New Roman" w:cs="Times New Roman"/>
          <w:kern w:val="0"/>
          <w:sz w:val="30"/>
          <w:szCs w:val="30"/>
        </w:rPr>
        <w:t>与其同居俨如配偶的人士，或其子女、继子女、父母、继父母、兄弟、继兄弟、姊妹或继姊妹（各称「家属」）；或</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 xml:space="preserve">(b) </w:t>
      </w:r>
      <w:r>
        <w:rPr>
          <w:rFonts w:ascii="Times New Roman" w:eastAsia="方正仿宋_GBK" w:hAnsi="Times New Roman" w:cs="Times New Roman"/>
          <w:kern w:val="0"/>
          <w:sz w:val="30"/>
          <w:szCs w:val="30"/>
        </w:rPr>
        <w:t>由家属（个别或共同）直接或间接持有或由家属连同其本人、其直系家属及</w:t>
      </w:r>
      <w:r>
        <w:rPr>
          <w:rFonts w:ascii="宋体" w:eastAsia="宋体" w:hAnsi="宋体" w:cs="宋体" w:hint="eastAsia"/>
          <w:kern w:val="0"/>
          <w:sz w:val="30"/>
          <w:szCs w:val="30"/>
        </w:rPr>
        <w:t>╱</w:t>
      </w:r>
      <w:r>
        <w:rPr>
          <w:rFonts w:ascii="Times New Roman" w:eastAsia="方正仿宋_GBK" w:hAnsi="Times New Roman" w:cs="Times New Roman"/>
          <w:kern w:val="0"/>
          <w:sz w:val="30"/>
          <w:szCs w:val="30"/>
        </w:rPr>
        <w:t>或受托人持有占多数控制权的公司，或该公司旗下任何附属公司。</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 xml:space="preserve">14A.13 </w:t>
      </w:r>
      <w:r>
        <w:rPr>
          <w:rFonts w:ascii="Times New Roman" w:eastAsia="方正仿宋_GBK" w:hAnsi="Times New Roman" w:cs="Times New Roman"/>
          <w:kern w:val="0"/>
          <w:sz w:val="30"/>
          <w:szCs w:val="30"/>
        </w:rPr>
        <w:t>《上市规则》第</w:t>
      </w:r>
      <w:r>
        <w:rPr>
          <w:rFonts w:ascii="Times New Roman" w:eastAsia="方正仿宋_GBK" w:hAnsi="Times New Roman" w:cs="Times New Roman"/>
          <w:kern w:val="0"/>
          <w:sz w:val="30"/>
          <w:szCs w:val="30"/>
        </w:rPr>
        <w:t>14A.07(1)</w:t>
      </w:r>
      <w:r>
        <w:rPr>
          <w:rFonts w:ascii="Times New Roman" w:eastAsia="方正仿宋_GBK" w:hAnsi="Times New Roman" w:cs="Times New Roman"/>
          <w:kern w:val="0"/>
          <w:sz w:val="30"/>
          <w:szCs w:val="30"/>
        </w:rPr>
        <w:t>、</w:t>
      </w:r>
      <w:r>
        <w:rPr>
          <w:rFonts w:ascii="Times New Roman" w:eastAsia="方正仿宋_GBK" w:hAnsi="Times New Roman" w:cs="Times New Roman"/>
          <w:kern w:val="0"/>
          <w:sz w:val="30"/>
          <w:szCs w:val="30"/>
        </w:rPr>
        <w:t>(2)</w:t>
      </w:r>
      <w:r>
        <w:rPr>
          <w:rFonts w:ascii="Times New Roman" w:eastAsia="方正仿宋_GBK" w:hAnsi="Times New Roman" w:cs="Times New Roman"/>
          <w:kern w:val="0"/>
          <w:sz w:val="30"/>
          <w:szCs w:val="30"/>
        </w:rPr>
        <w:t>或</w:t>
      </w:r>
      <w:r>
        <w:rPr>
          <w:rFonts w:ascii="Times New Roman" w:eastAsia="方正仿宋_GBK" w:hAnsi="Times New Roman" w:cs="Times New Roman"/>
          <w:kern w:val="0"/>
          <w:sz w:val="30"/>
          <w:szCs w:val="30"/>
        </w:rPr>
        <w:t>(3)</w:t>
      </w:r>
      <w:r>
        <w:rPr>
          <w:rFonts w:ascii="Times New Roman" w:eastAsia="方正仿宋_GBK" w:hAnsi="Times New Roman" w:cs="Times New Roman"/>
          <w:kern w:val="0"/>
          <w:sz w:val="30"/>
          <w:szCs w:val="30"/>
        </w:rPr>
        <w:t>条所述的关连人士之「联系人」</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lastRenderedPageBreak/>
        <w:t>（如关连人士是公司）包括：</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 xml:space="preserve">(1) </w:t>
      </w:r>
      <w:r>
        <w:rPr>
          <w:rFonts w:ascii="Times New Roman" w:eastAsia="方正仿宋_GBK" w:hAnsi="Times New Roman" w:cs="Times New Roman"/>
          <w:kern w:val="0"/>
          <w:sz w:val="30"/>
          <w:szCs w:val="30"/>
        </w:rPr>
        <w:t>其附属公司或控股公司，或该控股公司的同系附属公司；</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 xml:space="preserve">(2) </w:t>
      </w:r>
      <w:r>
        <w:rPr>
          <w:rFonts w:ascii="Times New Roman" w:eastAsia="方正仿宋_GBK" w:hAnsi="Times New Roman" w:cs="Times New Roman"/>
          <w:kern w:val="0"/>
          <w:sz w:val="30"/>
          <w:szCs w:val="30"/>
        </w:rPr>
        <w:t>以该公司为受益人（或如属全权信托，以其所知是全权托管的对象）的任何信托中，具有受托人身份的受托人（「受托人」）；或</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 xml:space="preserve">(3) </w:t>
      </w:r>
      <w:r>
        <w:rPr>
          <w:rFonts w:ascii="Times New Roman" w:eastAsia="方正仿宋_GBK" w:hAnsi="Times New Roman" w:cs="Times New Roman"/>
          <w:kern w:val="0"/>
          <w:sz w:val="30"/>
          <w:szCs w:val="30"/>
        </w:rPr>
        <w:t>该公司、以上第</w:t>
      </w:r>
      <w:r>
        <w:rPr>
          <w:rFonts w:ascii="Times New Roman" w:eastAsia="方正仿宋_GBK" w:hAnsi="Times New Roman" w:cs="Times New Roman"/>
          <w:kern w:val="0"/>
          <w:sz w:val="30"/>
          <w:szCs w:val="30"/>
        </w:rPr>
        <w:t>(1)</w:t>
      </w:r>
      <w:r>
        <w:rPr>
          <w:rFonts w:ascii="Times New Roman" w:eastAsia="方正仿宋_GBK" w:hAnsi="Times New Roman" w:cs="Times New Roman"/>
          <w:kern w:val="0"/>
          <w:sz w:val="30"/>
          <w:szCs w:val="30"/>
        </w:rPr>
        <w:t>段所述的公司及</w:t>
      </w:r>
      <w:r>
        <w:rPr>
          <w:rFonts w:ascii="宋体" w:eastAsia="宋体" w:hAnsi="宋体" w:cs="宋体" w:hint="eastAsia"/>
          <w:kern w:val="0"/>
          <w:sz w:val="30"/>
          <w:szCs w:val="30"/>
        </w:rPr>
        <w:t>╱</w:t>
      </w:r>
      <w:r>
        <w:rPr>
          <w:rFonts w:ascii="Times New Roman" w:eastAsia="方正仿宋_GBK" w:hAnsi="Times New Roman" w:cs="Times New Roman"/>
          <w:kern w:val="0"/>
          <w:sz w:val="30"/>
          <w:szCs w:val="30"/>
        </w:rPr>
        <w:t>或受托人（个别或共同）直接或间接持有的</w:t>
      </w:r>
      <w:r>
        <w:rPr>
          <w:rFonts w:ascii="Times New Roman" w:eastAsia="方正仿宋_GBK" w:hAnsi="Times New Roman" w:cs="Times New Roman"/>
          <w:kern w:val="0"/>
          <w:sz w:val="30"/>
          <w:szCs w:val="30"/>
        </w:rPr>
        <w:t>30%</w:t>
      </w:r>
      <w:r>
        <w:rPr>
          <w:rFonts w:ascii="Times New Roman" w:eastAsia="方正仿宋_GBK" w:hAnsi="Times New Roman" w:cs="Times New Roman"/>
          <w:kern w:val="0"/>
          <w:sz w:val="30"/>
          <w:szCs w:val="30"/>
        </w:rPr>
        <w:t>受控公司，或该</w:t>
      </w:r>
      <w:r>
        <w:rPr>
          <w:rFonts w:ascii="Times New Roman" w:eastAsia="方正仿宋_GBK" w:hAnsi="Times New Roman" w:cs="Times New Roman"/>
          <w:kern w:val="0"/>
          <w:sz w:val="30"/>
          <w:szCs w:val="30"/>
        </w:rPr>
        <w:t>30%</w:t>
      </w:r>
      <w:r>
        <w:rPr>
          <w:rFonts w:ascii="Times New Roman" w:eastAsia="方正仿宋_GBK" w:hAnsi="Times New Roman" w:cs="Times New Roman"/>
          <w:kern w:val="0"/>
          <w:sz w:val="30"/>
          <w:szCs w:val="30"/>
        </w:rPr>
        <w:t>受控公司旗下任何附属公司。</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 xml:space="preserve">14A.14 </w:t>
      </w:r>
      <w:r>
        <w:rPr>
          <w:rFonts w:ascii="Times New Roman" w:eastAsia="方正仿宋_GBK" w:hAnsi="Times New Roman" w:cs="Times New Roman"/>
          <w:kern w:val="0"/>
          <w:sz w:val="30"/>
          <w:szCs w:val="30"/>
        </w:rPr>
        <w:t>若一名人士或其联系人除通过上市发行人集团间接持有一家</w:t>
      </w:r>
      <w:r>
        <w:rPr>
          <w:rFonts w:ascii="Times New Roman" w:eastAsia="方正仿宋_GBK" w:hAnsi="Times New Roman" w:cs="Times New Roman"/>
          <w:kern w:val="0"/>
          <w:sz w:val="30"/>
          <w:szCs w:val="30"/>
        </w:rPr>
        <w:t>30%</w:t>
      </w:r>
      <w:r>
        <w:rPr>
          <w:rFonts w:ascii="Times New Roman" w:eastAsia="方正仿宋_GBK" w:hAnsi="Times New Roman" w:cs="Times New Roman"/>
          <w:kern w:val="0"/>
          <w:sz w:val="30"/>
          <w:szCs w:val="30"/>
        </w:rPr>
        <w:t>受控公司的权益外，他们</w:t>
      </w:r>
      <w:r>
        <w:rPr>
          <w:rFonts w:ascii="宋体" w:eastAsia="宋体" w:hAnsi="宋体" w:cs="宋体" w:hint="eastAsia"/>
          <w:kern w:val="0"/>
          <w:sz w:val="30"/>
          <w:szCs w:val="30"/>
        </w:rPr>
        <w:t>╱</w:t>
      </w:r>
      <w:r>
        <w:rPr>
          <w:rFonts w:ascii="Times New Roman" w:eastAsia="方正仿宋_GBK" w:hAnsi="Times New Roman" w:cs="Times New Roman"/>
          <w:kern w:val="0"/>
          <w:sz w:val="30"/>
          <w:szCs w:val="30"/>
        </w:rPr>
        <w:t>它们另行持有该公司的权益合计少于</w:t>
      </w:r>
      <w:r>
        <w:rPr>
          <w:rFonts w:ascii="Times New Roman" w:eastAsia="方正仿宋_GBK" w:hAnsi="Times New Roman" w:cs="Times New Roman"/>
          <w:kern w:val="0"/>
          <w:sz w:val="30"/>
          <w:szCs w:val="30"/>
        </w:rPr>
        <w:t>10%</w:t>
      </w:r>
      <w:r>
        <w:rPr>
          <w:rFonts w:ascii="Times New Roman" w:eastAsia="方正仿宋_GBK" w:hAnsi="Times New Roman" w:cs="Times New Roman"/>
          <w:kern w:val="0"/>
          <w:sz w:val="30"/>
          <w:szCs w:val="30"/>
        </w:rPr>
        <w:t>，该公司不会被视作该名人士的联系人。</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 xml:space="preserve">14A.15 </w:t>
      </w:r>
      <w:r>
        <w:rPr>
          <w:rFonts w:ascii="Times New Roman" w:eastAsia="方正仿宋_GBK" w:hAnsi="Times New Roman" w:cs="Times New Roman"/>
          <w:kern w:val="0"/>
          <w:sz w:val="30"/>
          <w:szCs w:val="30"/>
        </w:rPr>
        <w:t>仅就中国发行人而言，若符合以下情况，一名人士的联系人包括以合作式或合同式合营公司（不论该合营公司是否属独立法人）的任何合营伙伴：</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 xml:space="preserve">(1) </w:t>
      </w:r>
      <w:r>
        <w:rPr>
          <w:rFonts w:ascii="Times New Roman" w:eastAsia="方正仿宋_GBK" w:hAnsi="Times New Roman" w:cs="Times New Roman"/>
          <w:kern w:val="0"/>
          <w:sz w:val="30"/>
          <w:szCs w:val="30"/>
        </w:rPr>
        <w:t>该人士（个人）、其直系家属及</w:t>
      </w:r>
      <w:r>
        <w:rPr>
          <w:rFonts w:ascii="宋体" w:eastAsia="宋体" w:hAnsi="宋体" w:cs="宋体" w:hint="eastAsia"/>
          <w:kern w:val="0"/>
          <w:sz w:val="30"/>
          <w:szCs w:val="30"/>
        </w:rPr>
        <w:t>╱</w:t>
      </w:r>
      <w:r>
        <w:rPr>
          <w:rFonts w:ascii="Times New Roman" w:eastAsia="方正仿宋_GBK" w:hAnsi="Times New Roman" w:cs="Times New Roman"/>
          <w:kern w:val="0"/>
          <w:sz w:val="30"/>
          <w:szCs w:val="30"/>
        </w:rPr>
        <w:t>或受托人；或</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 xml:space="preserve">(2) </w:t>
      </w:r>
      <w:r>
        <w:rPr>
          <w:rFonts w:ascii="Times New Roman" w:eastAsia="方正仿宋_GBK" w:hAnsi="Times New Roman" w:cs="Times New Roman"/>
          <w:kern w:val="0"/>
          <w:sz w:val="30"/>
          <w:szCs w:val="30"/>
        </w:rPr>
        <w:t>该人士（公司）、其任何附属公司、控股公司或控股公司的同系附属公司及</w:t>
      </w:r>
      <w:r>
        <w:rPr>
          <w:rFonts w:ascii="宋体" w:eastAsia="宋体" w:hAnsi="宋体" w:cs="宋体" w:hint="eastAsia"/>
          <w:kern w:val="0"/>
          <w:sz w:val="30"/>
          <w:szCs w:val="30"/>
        </w:rPr>
        <w:t>╱</w:t>
      </w:r>
      <w:r>
        <w:rPr>
          <w:rFonts w:ascii="Times New Roman" w:eastAsia="方正仿宋_GBK" w:hAnsi="Times New Roman" w:cs="Times New Roman"/>
          <w:kern w:val="0"/>
          <w:sz w:val="30"/>
          <w:szCs w:val="30"/>
        </w:rPr>
        <w:t>或受托人，</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共同直接或间接持有该合营公司的出缴资本或资产或根据合同应占合营公司的盈利或其他收益</w:t>
      </w:r>
      <w:r>
        <w:rPr>
          <w:rFonts w:ascii="Times New Roman" w:eastAsia="方正仿宋_GBK" w:hAnsi="Times New Roman" w:cs="Times New Roman"/>
          <w:kern w:val="0"/>
          <w:sz w:val="30"/>
          <w:szCs w:val="30"/>
        </w:rPr>
        <w:t>30%</w:t>
      </w:r>
      <w:r>
        <w:rPr>
          <w:rFonts w:ascii="Times New Roman" w:eastAsia="方正仿宋_GBK" w:hAnsi="Times New Roman" w:cs="Times New Roman"/>
          <w:kern w:val="0"/>
          <w:sz w:val="30"/>
          <w:szCs w:val="30"/>
        </w:rPr>
        <w:t>（或中国法律规定的其他百分比，而该百分比是触发进行强制性公开要约，或确立对企业法律上或管理上的控制所需的数额）或以上的权益。</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关连附属公司的定义</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 xml:space="preserve">14A.16 </w:t>
      </w:r>
      <w:r>
        <w:rPr>
          <w:rFonts w:ascii="Times New Roman" w:eastAsia="方正仿宋_GBK" w:hAnsi="Times New Roman" w:cs="Times New Roman"/>
          <w:kern w:val="0"/>
          <w:sz w:val="30"/>
          <w:szCs w:val="30"/>
        </w:rPr>
        <w:t>「关连附属公司」指：</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 xml:space="preserve">(1) </w:t>
      </w:r>
      <w:r>
        <w:rPr>
          <w:rFonts w:ascii="Times New Roman" w:eastAsia="方正仿宋_GBK" w:hAnsi="Times New Roman" w:cs="Times New Roman"/>
          <w:kern w:val="0"/>
          <w:sz w:val="30"/>
          <w:szCs w:val="30"/>
        </w:rPr>
        <w:t>符合下列情况之上市发行人旗下非全资附属公司：即发</w:t>
      </w:r>
      <w:r>
        <w:rPr>
          <w:rFonts w:ascii="Times New Roman" w:eastAsia="方正仿宋_GBK" w:hAnsi="Times New Roman" w:cs="Times New Roman"/>
          <w:kern w:val="0"/>
          <w:sz w:val="30"/>
          <w:szCs w:val="30"/>
        </w:rPr>
        <w:lastRenderedPageBreak/>
        <w:t>行人层面的关连人士可在该附属公司的股东大会上个别或共同行使</w:t>
      </w:r>
      <w:r>
        <w:rPr>
          <w:rFonts w:ascii="Times New Roman" w:eastAsia="方正仿宋_GBK" w:hAnsi="Times New Roman" w:cs="Times New Roman"/>
          <w:kern w:val="0"/>
          <w:sz w:val="30"/>
          <w:szCs w:val="30"/>
        </w:rPr>
        <w:t>10%</w:t>
      </w:r>
      <w:r>
        <w:rPr>
          <w:rFonts w:ascii="Times New Roman" w:eastAsia="方正仿宋_GBK" w:hAnsi="Times New Roman" w:cs="Times New Roman"/>
          <w:kern w:val="0"/>
          <w:sz w:val="30"/>
          <w:szCs w:val="30"/>
        </w:rPr>
        <w:t>或以上的表决权；该</w:t>
      </w:r>
      <w:r>
        <w:rPr>
          <w:rFonts w:ascii="Times New Roman" w:eastAsia="方正仿宋_GBK" w:hAnsi="Times New Roman" w:cs="Times New Roman"/>
          <w:kern w:val="0"/>
          <w:sz w:val="30"/>
          <w:szCs w:val="30"/>
        </w:rPr>
        <w:t>10%</w:t>
      </w:r>
      <w:r>
        <w:rPr>
          <w:rFonts w:ascii="Times New Roman" w:eastAsia="方正仿宋_GBK" w:hAnsi="Times New Roman" w:cs="Times New Roman"/>
          <w:kern w:val="0"/>
          <w:sz w:val="30"/>
          <w:szCs w:val="30"/>
        </w:rPr>
        <w:t>水平不包括该关连人士透过上市发行人持有该附属公司的任何间接权益；或</w:t>
      </w:r>
      <w:r>
        <w:rPr>
          <w:rFonts w:ascii="Times New Roman" w:eastAsia="方正仿宋_GBK" w:hAnsi="Times New Roman" w:cs="Times New Roman"/>
          <w:kern w:val="0"/>
          <w:sz w:val="30"/>
          <w:szCs w:val="30"/>
        </w:rPr>
        <w:t xml:space="preserve">(2) </w:t>
      </w:r>
      <w:r>
        <w:rPr>
          <w:rFonts w:ascii="Times New Roman" w:eastAsia="方正仿宋_GBK" w:hAnsi="Times New Roman" w:cs="Times New Roman"/>
          <w:kern w:val="0"/>
          <w:sz w:val="30"/>
          <w:szCs w:val="30"/>
        </w:rPr>
        <w:t>以上第</w:t>
      </w:r>
      <w:r>
        <w:rPr>
          <w:rFonts w:ascii="Times New Roman" w:eastAsia="方正仿宋_GBK" w:hAnsi="Times New Roman" w:cs="Times New Roman"/>
          <w:kern w:val="0"/>
          <w:sz w:val="30"/>
          <w:szCs w:val="30"/>
        </w:rPr>
        <w:t>(1)</w:t>
      </w:r>
      <w:r>
        <w:rPr>
          <w:rFonts w:ascii="Times New Roman" w:eastAsia="方正仿宋_GBK" w:hAnsi="Times New Roman" w:cs="Times New Roman"/>
          <w:kern w:val="0"/>
          <w:sz w:val="30"/>
          <w:szCs w:val="30"/>
        </w:rPr>
        <w:t>段所述非全资附属公司旗下任何附属公司。</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 xml:space="preserve">14A.17 </w:t>
      </w:r>
      <w:r>
        <w:rPr>
          <w:rFonts w:ascii="Times New Roman" w:eastAsia="方正仿宋_GBK" w:hAnsi="Times New Roman" w:cs="Times New Roman"/>
          <w:kern w:val="0"/>
          <w:sz w:val="30"/>
          <w:szCs w:val="30"/>
        </w:rPr>
        <w:t>若上市发行人的附属公司成为关连人士，纯粹是因为它们同是某关连附属公司旗下的附属公司，则该等附属公司之间的交易不会被视为关连交易。</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 xml:space="preserve">14A.18 </w:t>
      </w:r>
      <w:r>
        <w:rPr>
          <w:rFonts w:ascii="Times New Roman" w:eastAsia="方正仿宋_GBK" w:hAnsi="Times New Roman" w:cs="Times New Roman"/>
          <w:kern w:val="0"/>
          <w:sz w:val="30"/>
          <w:szCs w:val="30"/>
        </w:rPr>
        <w:t>若出现下列情况，上市发行人的附属公司则不是关连人士：</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 xml:space="preserve">(1) </w:t>
      </w:r>
      <w:r>
        <w:rPr>
          <w:rFonts w:ascii="Times New Roman" w:eastAsia="方正仿宋_GBK" w:hAnsi="Times New Roman" w:cs="Times New Roman"/>
          <w:kern w:val="0"/>
          <w:sz w:val="30"/>
          <w:szCs w:val="30"/>
        </w:rPr>
        <w:t>该附属公司是由上市发行人直接或间接全资拥有；或</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 xml:space="preserve">(2) </w:t>
      </w:r>
      <w:r>
        <w:rPr>
          <w:rFonts w:ascii="Times New Roman" w:eastAsia="方正仿宋_GBK" w:hAnsi="Times New Roman" w:cs="Times New Roman"/>
          <w:kern w:val="0"/>
          <w:sz w:val="30"/>
          <w:szCs w:val="30"/>
        </w:rPr>
        <w:t>该附属公司符合关连人士的定义，纯粹因为它是：</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 xml:space="preserve">(a) </w:t>
      </w:r>
      <w:r>
        <w:rPr>
          <w:rFonts w:ascii="Times New Roman" w:eastAsia="方正仿宋_GBK" w:hAnsi="Times New Roman" w:cs="Times New Roman"/>
          <w:kern w:val="0"/>
          <w:sz w:val="30"/>
          <w:szCs w:val="30"/>
        </w:rPr>
        <w:t>上市发行人旗下另一家附属公司的主要股东；或</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 xml:space="preserve">(b) </w:t>
      </w:r>
      <w:r>
        <w:rPr>
          <w:rFonts w:ascii="Times New Roman" w:eastAsia="方正仿宋_GBK" w:hAnsi="Times New Roman" w:cs="Times New Roman"/>
          <w:kern w:val="0"/>
          <w:sz w:val="30"/>
          <w:szCs w:val="30"/>
        </w:rPr>
        <w:t>发行人旗下任何附属公司的董事（或过去</w:t>
      </w:r>
      <w:r>
        <w:rPr>
          <w:rFonts w:ascii="Times New Roman" w:eastAsia="方正仿宋_GBK" w:hAnsi="Times New Roman" w:cs="Times New Roman"/>
          <w:kern w:val="0"/>
          <w:sz w:val="30"/>
          <w:szCs w:val="30"/>
        </w:rPr>
        <w:t>12</w:t>
      </w:r>
      <w:r>
        <w:rPr>
          <w:rFonts w:ascii="Times New Roman" w:eastAsia="方正仿宋_GBK" w:hAnsi="Times New Roman" w:cs="Times New Roman"/>
          <w:kern w:val="0"/>
          <w:sz w:val="30"/>
          <w:szCs w:val="30"/>
        </w:rPr>
        <w:t>个月曾任董事的人士）、最高行政人员、主要股东或监事等人之联系人。</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「视作关连人士」</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 xml:space="preserve">14A.19 </w:t>
      </w:r>
      <w:r>
        <w:rPr>
          <w:rFonts w:ascii="Times New Roman" w:eastAsia="方正仿宋_GBK" w:hAnsi="Times New Roman" w:cs="Times New Roman"/>
          <w:kern w:val="0"/>
          <w:sz w:val="30"/>
          <w:szCs w:val="30"/>
        </w:rPr>
        <w:t>本交易所有权将任何人士视作关连人士。</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 xml:space="preserve">14A.20 </w:t>
      </w:r>
      <w:r>
        <w:rPr>
          <w:rFonts w:ascii="Times New Roman" w:eastAsia="方正仿宋_GBK" w:hAnsi="Times New Roman" w:cs="Times New Roman"/>
          <w:kern w:val="0"/>
          <w:sz w:val="30"/>
          <w:szCs w:val="30"/>
        </w:rPr>
        <w:t>「视作关连人士」包括下列人士：</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 xml:space="preserve">(1) </w:t>
      </w:r>
      <w:r>
        <w:rPr>
          <w:rFonts w:ascii="Times New Roman" w:eastAsia="方正仿宋_GBK" w:hAnsi="Times New Roman" w:cs="Times New Roman"/>
          <w:kern w:val="0"/>
          <w:sz w:val="30"/>
          <w:szCs w:val="30"/>
        </w:rPr>
        <w:t>该人士已进行或拟进行下列事项：</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 xml:space="preserve">(a) </w:t>
      </w:r>
      <w:r>
        <w:rPr>
          <w:rFonts w:ascii="Times New Roman" w:eastAsia="方正仿宋_GBK" w:hAnsi="Times New Roman" w:cs="Times New Roman"/>
          <w:kern w:val="0"/>
          <w:sz w:val="30"/>
          <w:szCs w:val="30"/>
        </w:rPr>
        <w:t>与上市发行人集团进行一项交易；及</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 xml:space="preserve">(b) </w:t>
      </w:r>
      <w:r>
        <w:rPr>
          <w:rFonts w:ascii="Times New Roman" w:eastAsia="方正仿宋_GBK" w:hAnsi="Times New Roman" w:cs="Times New Roman"/>
          <w:kern w:val="0"/>
          <w:sz w:val="30"/>
          <w:szCs w:val="30"/>
        </w:rPr>
        <w:t>就交易与《上市规则》第</w:t>
      </w:r>
      <w:r>
        <w:rPr>
          <w:rFonts w:ascii="Times New Roman" w:eastAsia="方正仿宋_GBK" w:hAnsi="Times New Roman" w:cs="Times New Roman"/>
          <w:kern w:val="0"/>
          <w:sz w:val="30"/>
          <w:szCs w:val="30"/>
        </w:rPr>
        <w:t>14A.07(1)</w:t>
      </w:r>
      <w:r>
        <w:rPr>
          <w:rFonts w:ascii="Times New Roman" w:eastAsia="方正仿宋_GBK" w:hAnsi="Times New Roman" w:cs="Times New Roman"/>
          <w:kern w:val="0"/>
          <w:sz w:val="30"/>
          <w:szCs w:val="30"/>
        </w:rPr>
        <w:t>、</w:t>
      </w:r>
      <w:r>
        <w:rPr>
          <w:rFonts w:ascii="Times New Roman" w:eastAsia="方正仿宋_GBK" w:hAnsi="Times New Roman" w:cs="Times New Roman"/>
          <w:kern w:val="0"/>
          <w:sz w:val="30"/>
          <w:szCs w:val="30"/>
        </w:rPr>
        <w:t>(2)</w:t>
      </w:r>
      <w:r>
        <w:rPr>
          <w:rFonts w:ascii="Times New Roman" w:eastAsia="方正仿宋_GBK" w:hAnsi="Times New Roman" w:cs="Times New Roman"/>
          <w:kern w:val="0"/>
          <w:sz w:val="30"/>
          <w:szCs w:val="30"/>
        </w:rPr>
        <w:t>或</w:t>
      </w:r>
      <w:r>
        <w:rPr>
          <w:rFonts w:ascii="Times New Roman" w:eastAsia="方正仿宋_GBK" w:hAnsi="Times New Roman" w:cs="Times New Roman"/>
          <w:kern w:val="0"/>
          <w:sz w:val="30"/>
          <w:szCs w:val="30"/>
        </w:rPr>
        <w:t>(3)</w:t>
      </w:r>
      <w:r>
        <w:rPr>
          <w:rFonts w:ascii="Times New Roman" w:eastAsia="方正仿宋_GBK" w:hAnsi="Times New Roman" w:cs="Times New Roman"/>
          <w:kern w:val="0"/>
          <w:sz w:val="30"/>
          <w:szCs w:val="30"/>
        </w:rPr>
        <w:t>条所述的关连人士达成协议、安排、谅解或承诺（不论正式或非正式，亦不论明示或默示）；及</w:t>
      </w:r>
      <w:r>
        <w:rPr>
          <w:rFonts w:ascii="Times New Roman" w:eastAsia="方正仿宋_GBK" w:hAnsi="Times New Roman" w:cs="Times New Roman"/>
          <w:kern w:val="0"/>
          <w:sz w:val="30"/>
          <w:szCs w:val="30"/>
        </w:rPr>
        <w:t xml:space="preserve">(2) </w:t>
      </w:r>
      <w:r>
        <w:rPr>
          <w:rFonts w:ascii="Times New Roman" w:eastAsia="方正仿宋_GBK" w:hAnsi="Times New Roman" w:cs="Times New Roman"/>
          <w:kern w:val="0"/>
          <w:sz w:val="30"/>
          <w:szCs w:val="30"/>
        </w:rPr>
        <w:t>本交易所认为该人士应被视为关连人士。</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 xml:space="preserve">14A.21 </w:t>
      </w:r>
      <w:r>
        <w:rPr>
          <w:rFonts w:ascii="Times New Roman" w:eastAsia="方正仿宋_GBK" w:hAnsi="Times New Roman" w:cs="Times New Roman"/>
          <w:kern w:val="0"/>
          <w:sz w:val="30"/>
          <w:szCs w:val="30"/>
        </w:rPr>
        <w:t>「视作关连人士」亦包括：</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 xml:space="preserve">(1) </w:t>
      </w:r>
      <w:r>
        <w:rPr>
          <w:rFonts w:ascii="Times New Roman" w:eastAsia="方正仿宋_GBK" w:hAnsi="Times New Roman" w:cs="Times New Roman"/>
          <w:kern w:val="0"/>
          <w:sz w:val="30"/>
          <w:szCs w:val="30"/>
        </w:rPr>
        <w:t>下列人士：</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lastRenderedPageBreak/>
        <w:t xml:space="preserve">(a) </w:t>
      </w:r>
      <w:r>
        <w:rPr>
          <w:rFonts w:ascii="Times New Roman" w:eastAsia="方正仿宋_GBK" w:hAnsi="Times New Roman" w:cs="Times New Roman"/>
          <w:kern w:val="0"/>
          <w:sz w:val="30"/>
          <w:szCs w:val="30"/>
        </w:rPr>
        <w:t>《上市规则》第</w:t>
      </w:r>
      <w:r>
        <w:rPr>
          <w:rFonts w:ascii="Times New Roman" w:eastAsia="方正仿宋_GBK" w:hAnsi="Times New Roman" w:cs="Times New Roman"/>
          <w:kern w:val="0"/>
          <w:sz w:val="30"/>
          <w:szCs w:val="30"/>
        </w:rPr>
        <w:t>14A.07(1)</w:t>
      </w:r>
      <w:r>
        <w:rPr>
          <w:rFonts w:ascii="Times New Roman" w:eastAsia="方正仿宋_GBK" w:hAnsi="Times New Roman" w:cs="Times New Roman"/>
          <w:kern w:val="0"/>
          <w:sz w:val="30"/>
          <w:szCs w:val="30"/>
        </w:rPr>
        <w:t>、</w:t>
      </w:r>
      <w:r>
        <w:rPr>
          <w:rFonts w:ascii="Times New Roman" w:eastAsia="方正仿宋_GBK" w:hAnsi="Times New Roman" w:cs="Times New Roman"/>
          <w:kern w:val="0"/>
          <w:sz w:val="30"/>
          <w:szCs w:val="30"/>
        </w:rPr>
        <w:t>(2)</w:t>
      </w:r>
      <w:r>
        <w:rPr>
          <w:rFonts w:ascii="Times New Roman" w:eastAsia="方正仿宋_GBK" w:hAnsi="Times New Roman" w:cs="Times New Roman"/>
          <w:kern w:val="0"/>
          <w:sz w:val="30"/>
          <w:szCs w:val="30"/>
        </w:rPr>
        <w:t>或</w:t>
      </w:r>
      <w:r>
        <w:rPr>
          <w:rFonts w:ascii="Times New Roman" w:eastAsia="方正仿宋_GBK" w:hAnsi="Times New Roman" w:cs="Times New Roman"/>
          <w:kern w:val="0"/>
          <w:sz w:val="30"/>
          <w:szCs w:val="30"/>
        </w:rPr>
        <w:t>(3)</w:t>
      </w:r>
      <w:r>
        <w:rPr>
          <w:rFonts w:ascii="Times New Roman" w:eastAsia="方正仿宋_GBK" w:hAnsi="Times New Roman" w:cs="Times New Roman"/>
          <w:kern w:val="0"/>
          <w:sz w:val="30"/>
          <w:szCs w:val="30"/>
        </w:rPr>
        <w:t>条所述关连人士的配偶父母、子女的配偶、兄弟姊妹的配偶、配偶的兄弟姊妹、祖父母、外祖父母、孙及外孙、父母的兄弟姊妹及其配偶、堂兄弟姊妹、表兄弟姊妹及兄弟姊妹的子女（各称「亲属」）；或</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 xml:space="preserve">(b) </w:t>
      </w:r>
      <w:r>
        <w:rPr>
          <w:rFonts w:ascii="Times New Roman" w:eastAsia="方正仿宋_GBK" w:hAnsi="Times New Roman" w:cs="Times New Roman"/>
          <w:kern w:val="0"/>
          <w:sz w:val="30"/>
          <w:szCs w:val="30"/>
        </w:rPr>
        <w:t>由亲属（个别或共同）直接或间接持有或由亲属连同《上市规则》第</w:t>
      </w:r>
      <w:r>
        <w:rPr>
          <w:rFonts w:ascii="Times New Roman" w:eastAsia="方正仿宋_GBK" w:hAnsi="Times New Roman" w:cs="Times New Roman"/>
          <w:kern w:val="0"/>
          <w:sz w:val="30"/>
          <w:szCs w:val="30"/>
        </w:rPr>
        <w:t>14A.07(1)</w:t>
      </w:r>
      <w:r>
        <w:rPr>
          <w:rFonts w:ascii="Times New Roman" w:eastAsia="方正仿宋_GBK" w:hAnsi="Times New Roman" w:cs="Times New Roman"/>
          <w:kern w:val="0"/>
          <w:sz w:val="30"/>
          <w:szCs w:val="30"/>
        </w:rPr>
        <w:t>、</w:t>
      </w:r>
      <w:r>
        <w:rPr>
          <w:rFonts w:ascii="Times New Roman" w:eastAsia="方正仿宋_GBK" w:hAnsi="Times New Roman" w:cs="Times New Roman"/>
          <w:kern w:val="0"/>
          <w:sz w:val="30"/>
          <w:szCs w:val="30"/>
        </w:rPr>
        <w:t>(2)</w:t>
      </w:r>
      <w:r>
        <w:rPr>
          <w:rFonts w:ascii="Times New Roman" w:eastAsia="方正仿宋_GBK" w:hAnsi="Times New Roman" w:cs="Times New Roman"/>
          <w:kern w:val="0"/>
          <w:sz w:val="30"/>
          <w:szCs w:val="30"/>
        </w:rPr>
        <w:t>或</w:t>
      </w:r>
      <w:r>
        <w:rPr>
          <w:rFonts w:ascii="Times New Roman" w:eastAsia="方正仿宋_GBK" w:hAnsi="Times New Roman" w:cs="Times New Roman"/>
          <w:kern w:val="0"/>
          <w:sz w:val="30"/>
          <w:szCs w:val="30"/>
        </w:rPr>
        <w:t>(3)</w:t>
      </w:r>
      <w:r>
        <w:rPr>
          <w:rFonts w:ascii="Times New Roman" w:eastAsia="方正仿宋_GBK" w:hAnsi="Times New Roman" w:cs="Times New Roman"/>
          <w:kern w:val="0"/>
          <w:sz w:val="30"/>
          <w:szCs w:val="30"/>
        </w:rPr>
        <w:t>条所述的关连人士、受托人、其直系家属及</w:t>
      </w:r>
      <w:r>
        <w:rPr>
          <w:rFonts w:ascii="宋体" w:eastAsia="宋体" w:hAnsi="宋体" w:cs="宋体" w:hint="eastAsia"/>
          <w:kern w:val="0"/>
          <w:sz w:val="30"/>
          <w:szCs w:val="30"/>
        </w:rPr>
        <w:t>╱</w:t>
      </w:r>
      <w:r>
        <w:rPr>
          <w:rFonts w:ascii="Times New Roman" w:eastAsia="方正仿宋_GBK" w:hAnsi="Times New Roman" w:cs="Times New Roman"/>
          <w:kern w:val="0"/>
          <w:sz w:val="30"/>
          <w:szCs w:val="30"/>
        </w:rPr>
        <w:t>或家属共同持有的占多数控制权的公司，或该占多数控制权的公司旗下任何附属公司；及</w:t>
      </w:r>
      <w:r>
        <w:rPr>
          <w:rFonts w:ascii="Times New Roman" w:eastAsia="方正仿宋_GBK" w:hAnsi="Times New Roman" w:cs="Times New Roman"/>
          <w:kern w:val="0"/>
          <w:sz w:val="30"/>
          <w:szCs w:val="30"/>
        </w:rPr>
        <w:t xml:space="preserve">(2) </w:t>
      </w:r>
      <w:r>
        <w:rPr>
          <w:rFonts w:ascii="Times New Roman" w:eastAsia="方正仿宋_GBK" w:hAnsi="Times New Roman" w:cs="Times New Roman"/>
          <w:kern w:val="0"/>
          <w:sz w:val="30"/>
          <w:szCs w:val="30"/>
        </w:rPr>
        <w:t>该人士与关连人士之间的联系，令本交易所认为建议交易应受关连交易规则所规管。</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 xml:space="preserve">14A.22 </w:t>
      </w:r>
      <w:r>
        <w:rPr>
          <w:rFonts w:ascii="Times New Roman" w:eastAsia="方正仿宋_GBK" w:hAnsi="Times New Roman" w:cs="Times New Roman"/>
          <w:kern w:val="0"/>
          <w:sz w:val="30"/>
          <w:szCs w:val="30"/>
        </w:rPr>
        <w:t>若上市发行人拟与《上市规则》第</w:t>
      </w:r>
      <w:r>
        <w:rPr>
          <w:rFonts w:ascii="Times New Roman" w:eastAsia="方正仿宋_GBK" w:hAnsi="Times New Roman" w:cs="Times New Roman"/>
          <w:kern w:val="0"/>
          <w:sz w:val="30"/>
          <w:szCs w:val="30"/>
        </w:rPr>
        <w:t>14A.20(1)</w:t>
      </w:r>
      <w:r>
        <w:rPr>
          <w:rFonts w:ascii="Times New Roman" w:eastAsia="方正仿宋_GBK" w:hAnsi="Times New Roman" w:cs="Times New Roman"/>
          <w:kern w:val="0"/>
          <w:sz w:val="30"/>
          <w:szCs w:val="30"/>
        </w:rPr>
        <w:t>或</w:t>
      </w:r>
      <w:r>
        <w:rPr>
          <w:rFonts w:ascii="Times New Roman" w:eastAsia="方正仿宋_GBK" w:hAnsi="Times New Roman" w:cs="Times New Roman"/>
          <w:kern w:val="0"/>
          <w:sz w:val="30"/>
          <w:szCs w:val="30"/>
        </w:rPr>
        <w:t>14A.21(1)</w:t>
      </w:r>
      <w:r>
        <w:rPr>
          <w:rFonts w:ascii="Times New Roman" w:eastAsia="方正仿宋_GBK" w:hAnsi="Times New Roman" w:cs="Times New Roman"/>
          <w:kern w:val="0"/>
          <w:sz w:val="30"/>
          <w:szCs w:val="30"/>
        </w:rPr>
        <w:t>条所述的人士进行任何交易（除获豁免遵守所有关连交易规定外），一概必须通知本交易所。</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上市发行人必须向本交易所提供数据，以证明该交易应否遵守关连交易规定。</w:t>
      </w:r>
    </w:p>
    <w:p w:rsidR="00F43A36" w:rsidRDefault="00061A8A">
      <w:pPr>
        <w:autoSpaceDE w:val="0"/>
        <w:autoSpaceDN w:val="0"/>
        <w:adjustRightInd w:val="0"/>
        <w:spacing w:line="560" w:lineRule="exact"/>
        <w:ind w:firstLineChars="200" w:firstLine="602"/>
        <w:rPr>
          <w:rFonts w:ascii="Times New Roman" w:eastAsia="方正仿宋_GBK" w:hAnsi="Times New Roman" w:cs="Times New Roman"/>
          <w:b/>
          <w:kern w:val="0"/>
          <w:sz w:val="30"/>
          <w:szCs w:val="30"/>
        </w:rPr>
      </w:pPr>
      <w:r>
        <w:rPr>
          <w:rFonts w:ascii="Times New Roman" w:eastAsia="方正仿宋_GBK" w:hAnsi="Times New Roman" w:cs="Times New Roman"/>
          <w:b/>
          <w:kern w:val="0"/>
          <w:sz w:val="30"/>
          <w:szCs w:val="30"/>
        </w:rPr>
        <w:t>（三）第</w:t>
      </w:r>
      <w:r>
        <w:rPr>
          <w:rFonts w:ascii="Times New Roman" w:eastAsia="方正仿宋_GBK" w:hAnsi="Times New Roman" w:cs="Times New Roman"/>
          <w:b/>
          <w:kern w:val="0"/>
          <w:sz w:val="30"/>
          <w:szCs w:val="30"/>
        </w:rPr>
        <w:t xml:space="preserve">19A </w:t>
      </w:r>
      <w:r>
        <w:rPr>
          <w:rFonts w:ascii="Times New Roman" w:eastAsia="方正仿宋_GBK" w:hAnsi="Times New Roman" w:cs="Times New Roman"/>
          <w:b/>
          <w:kern w:val="0"/>
          <w:sz w:val="30"/>
          <w:szCs w:val="30"/>
        </w:rPr>
        <w:t>章的有关规定</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根据《上市规则》第</w:t>
      </w:r>
      <w:r>
        <w:rPr>
          <w:rFonts w:ascii="Times New Roman" w:eastAsia="方正仿宋_GBK" w:hAnsi="Times New Roman" w:cs="Times New Roman"/>
          <w:kern w:val="0"/>
          <w:sz w:val="30"/>
          <w:szCs w:val="30"/>
        </w:rPr>
        <w:t xml:space="preserve">19A.19 </w:t>
      </w:r>
      <w:r>
        <w:rPr>
          <w:rFonts w:ascii="Times New Roman" w:eastAsia="方正仿宋_GBK" w:hAnsi="Times New Roman" w:cs="Times New Roman"/>
          <w:kern w:val="0"/>
          <w:sz w:val="30"/>
          <w:szCs w:val="30"/>
        </w:rPr>
        <w:t>条，就第十四</w:t>
      </w:r>
      <w:r>
        <w:rPr>
          <w:rFonts w:ascii="Times New Roman" w:eastAsia="方正仿宋_GBK" w:hAnsi="Times New Roman" w:cs="Times New Roman"/>
          <w:kern w:val="0"/>
          <w:sz w:val="30"/>
          <w:szCs w:val="30"/>
        </w:rPr>
        <w:t xml:space="preserve">A </w:t>
      </w:r>
      <w:r>
        <w:rPr>
          <w:rFonts w:ascii="Times New Roman" w:eastAsia="方正仿宋_GBK" w:hAnsi="Times New Roman" w:cs="Times New Roman"/>
          <w:kern w:val="0"/>
          <w:sz w:val="30"/>
          <w:szCs w:val="30"/>
        </w:rPr>
        <w:t>章的关连交易规定而言，本交易所可不时决定某些人士或实体应被视为中国发行人的关连人士。</w:t>
      </w:r>
    </w:p>
    <w:p w:rsidR="00F43A36" w:rsidRDefault="00061A8A">
      <w:pPr>
        <w:autoSpaceDE w:val="0"/>
        <w:autoSpaceDN w:val="0"/>
        <w:adjustRightInd w:val="0"/>
        <w:spacing w:line="560" w:lineRule="exact"/>
        <w:ind w:firstLineChars="200" w:firstLine="602"/>
        <w:rPr>
          <w:rFonts w:ascii="Times New Roman" w:eastAsia="方正仿宋_GBK" w:hAnsi="Times New Roman" w:cs="Times New Roman"/>
          <w:b/>
          <w:kern w:val="0"/>
          <w:sz w:val="30"/>
          <w:szCs w:val="30"/>
        </w:rPr>
      </w:pPr>
      <w:r>
        <w:rPr>
          <w:rFonts w:ascii="Times New Roman" w:eastAsia="方正仿宋_GBK" w:hAnsi="Times New Roman" w:cs="Times New Roman"/>
          <w:b/>
          <w:kern w:val="0"/>
          <w:sz w:val="30"/>
          <w:szCs w:val="30"/>
        </w:rPr>
        <w:t>（四）第</w:t>
      </w:r>
      <w:r>
        <w:rPr>
          <w:rFonts w:ascii="Times New Roman" w:eastAsia="方正仿宋_GBK" w:hAnsi="Times New Roman" w:cs="Times New Roman"/>
          <w:b/>
          <w:kern w:val="0"/>
          <w:sz w:val="30"/>
          <w:szCs w:val="30"/>
        </w:rPr>
        <w:t>1</w:t>
      </w:r>
      <w:r>
        <w:rPr>
          <w:rFonts w:ascii="Times New Roman" w:eastAsia="方正仿宋_GBK" w:hAnsi="Times New Roman" w:cs="Times New Roman"/>
          <w:b/>
          <w:kern w:val="0"/>
          <w:sz w:val="30"/>
          <w:szCs w:val="30"/>
        </w:rPr>
        <w:t>章的有关规定</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 xml:space="preserve">1.01 </w:t>
      </w:r>
      <w:r>
        <w:rPr>
          <w:rFonts w:ascii="Times New Roman" w:eastAsia="方正仿宋_GBK" w:hAnsi="Times New Roman" w:cs="Times New Roman"/>
          <w:kern w:val="0"/>
          <w:sz w:val="30"/>
          <w:szCs w:val="30"/>
        </w:rPr>
        <w:t>在本册内，除文意另有所指外，下列词语具有如下意义：</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w:t>
      </w:r>
      <w:r>
        <w:rPr>
          <w:rFonts w:ascii="Times New Roman" w:eastAsia="方正仿宋_GBK" w:hAnsi="Times New Roman" w:cs="Times New Roman"/>
          <w:kern w:val="0"/>
          <w:sz w:val="30"/>
          <w:szCs w:val="30"/>
        </w:rPr>
        <w:t>主要股东</w:t>
      </w:r>
      <w:r>
        <w:rPr>
          <w:rFonts w:ascii="Times New Roman" w:eastAsia="方正仿宋_GBK" w:hAnsi="Times New Roman" w:cs="Times New Roman"/>
          <w:kern w:val="0"/>
          <w:sz w:val="30"/>
          <w:szCs w:val="30"/>
        </w:rPr>
        <w:t>”</w:t>
      </w:r>
      <w:r>
        <w:rPr>
          <w:rFonts w:ascii="Times New Roman" w:eastAsia="方正仿宋_GBK" w:hAnsi="Times New Roman" w:cs="Times New Roman"/>
          <w:kern w:val="0"/>
          <w:sz w:val="30"/>
          <w:szCs w:val="30"/>
        </w:rPr>
        <w:t>就某公司而言，指有权在该公司股东大会上行使或控制行使百分之十或以上表决权的人士（包括预托证券持有人）。但不论任何时候，存管人均不会纯粹因为其为预托证券持</w:t>
      </w:r>
      <w:r>
        <w:rPr>
          <w:rFonts w:ascii="Times New Roman" w:eastAsia="方正仿宋_GBK" w:hAnsi="Times New Roman" w:cs="Times New Roman"/>
          <w:kern w:val="0"/>
          <w:sz w:val="30"/>
          <w:szCs w:val="30"/>
        </w:rPr>
        <w:lastRenderedPageBreak/>
        <w:t>有人的利益持有发行人股份而被视为主要股东。</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附注：就第十四</w:t>
      </w:r>
      <w:r>
        <w:rPr>
          <w:rFonts w:ascii="Times New Roman" w:eastAsia="方正仿宋_GBK" w:hAnsi="Times New Roman" w:cs="Times New Roman"/>
          <w:i/>
          <w:iCs/>
          <w:kern w:val="0"/>
          <w:sz w:val="30"/>
          <w:szCs w:val="30"/>
        </w:rPr>
        <w:t>A</w:t>
      </w:r>
      <w:r>
        <w:rPr>
          <w:rFonts w:ascii="Times New Roman" w:eastAsia="方正仿宋_GBK" w:hAnsi="Times New Roman" w:cs="Times New Roman"/>
          <w:kern w:val="0"/>
          <w:sz w:val="30"/>
          <w:szCs w:val="30"/>
        </w:rPr>
        <w:t>章而言，本定义须按第</w:t>
      </w:r>
      <w:r>
        <w:rPr>
          <w:rFonts w:ascii="Times New Roman" w:eastAsia="方正仿宋_GBK" w:hAnsi="Times New Roman" w:cs="Times New Roman"/>
          <w:i/>
          <w:iCs/>
          <w:kern w:val="0"/>
          <w:sz w:val="30"/>
          <w:szCs w:val="30"/>
        </w:rPr>
        <w:t>14A.29</w:t>
      </w:r>
      <w:r>
        <w:rPr>
          <w:rFonts w:ascii="Times New Roman" w:eastAsia="方正仿宋_GBK" w:hAnsi="Times New Roman" w:cs="Times New Roman"/>
          <w:kern w:val="0"/>
          <w:sz w:val="30"/>
          <w:szCs w:val="30"/>
        </w:rPr>
        <w:t>条作出修订。</w:t>
      </w:r>
    </w:p>
    <w:p w:rsidR="00F43A36" w:rsidRDefault="00061A8A">
      <w:pPr>
        <w:autoSpaceDE w:val="0"/>
        <w:autoSpaceDN w:val="0"/>
        <w:adjustRightInd w:val="0"/>
        <w:spacing w:line="560" w:lineRule="exact"/>
        <w:ind w:firstLineChars="200" w:firstLine="600"/>
        <w:rPr>
          <w:rFonts w:ascii="黑体" w:eastAsia="黑体" w:hAnsi="黑体" w:cs="Times New Roman"/>
          <w:kern w:val="0"/>
          <w:sz w:val="30"/>
          <w:szCs w:val="30"/>
        </w:rPr>
      </w:pPr>
      <w:r>
        <w:rPr>
          <w:rFonts w:ascii="黑体" w:eastAsia="黑体" w:hAnsi="黑体" w:cs="Times New Roman"/>
          <w:kern w:val="0"/>
          <w:sz w:val="30"/>
          <w:szCs w:val="30"/>
        </w:rPr>
        <w:t>五、《企业会计准则第</w:t>
      </w:r>
      <w:r>
        <w:rPr>
          <w:rFonts w:ascii="黑体" w:eastAsia="黑体" w:hAnsi="黑体" w:cs="Times New Roman"/>
          <w:b/>
          <w:bCs/>
          <w:kern w:val="0"/>
          <w:sz w:val="30"/>
          <w:szCs w:val="30"/>
        </w:rPr>
        <w:t>36</w:t>
      </w:r>
      <w:r>
        <w:rPr>
          <w:rFonts w:ascii="黑体" w:eastAsia="黑体" w:hAnsi="黑体" w:cs="Times New Roman"/>
          <w:kern w:val="0"/>
          <w:sz w:val="30"/>
          <w:szCs w:val="30"/>
        </w:rPr>
        <w:t>号</w:t>
      </w:r>
      <w:r>
        <w:rPr>
          <w:rFonts w:ascii="黑体" w:eastAsia="黑体" w:hAnsi="黑体" w:cs="Times New Roman"/>
          <w:b/>
          <w:bCs/>
          <w:kern w:val="0"/>
          <w:sz w:val="30"/>
          <w:szCs w:val="30"/>
        </w:rPr>
        <w:t>—</w:t>
      </w:r>
      <w:r>
        <w:rPr>
          <w:rFonts w:ascii="黑体" w:eastAsia="黑体" w:hAnsi="黑体" w:cs="Times New Roman"/>
          <w:kern w:val="0"/>
          <w:sz w:val="30"/>
          <w:szCs w:val="30"/>
        </w:rPr>
        <w:t>关联方披露》定义的关联方如下：</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第三条</w:t>
      </w:r>
      <w:r>
        <w:rPr>
          <w:rFonts w:ascii="Times New Roman" w:eastAsia="方正仿宋_GBK" w:hAnsi="Times New Roman" w:cs="Times New Roman" w:hint="eastAsia"/>
          <w:kern w:val="0"/>
          <w:sz w:val="30"/>
          <w:szCs w:val="30"/>
        </w:rPr>
        <w:t xml:space="preserve">  </w:t>
      </w:r>
      <w:r>
        <w:rPr>
          <w:rFonts w:ascii="Times New Roman" w:eastAsia="方正仿宋_GBK" w:hAnsi="Times New Roman" w:cs="Times New Roman"/>
          <w:kern w:val="0"/>
          <w:sz w:val="30"/>
          <w:szCs w:val="30"/>
        </w:rPr>
        <w:t>一方控制、共同控制另一方或对另一方施加重大影响，以及两方或两方以上同受一方控制、共同控制或重大影响的，构成关联方。控制，是指有权决定一个企业的财务和经营政策，并能据以从该企业的经营活动中获取利益。共同控制，是指按照合同约定对某项经济活动所共有的控制，仅在与该项经济活动相关的重要财务和经营决策需要分享控制权的投资方一致同意时存在。重大影响，是指对一个企业的财务和经营政策有参与决策的权力，但并不能够控制或者与其他方一起共同控制这些政策的制定。</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第四条</w:t>
      </w:r>
      <w:r>
        <w:rPr>
          <w:rFonts w:ascii="Times New Roman" w:eastAsia="方正仿宋_GBK" w:hAnsi="Times New Roman" w:cs="Times New Roman" w:hint="eastAsia"/>
          <w:kern w:val="0"/>
          <w:sz w:val="30"/>
          <w:szCs w:val="30"/>
        </w:rPr>
        <w:t xml:space="preserve">  </w:t>
      </w:r>
      <w:r>
        <w:rPr>
          <w:rFonts w:ascii="Times New Roman" w:eastAsia="方正仿宋_GBK" w:hAnsi="Times New Roman" w:cs="Times New Roman"/>
          <w:kern w:val="0"/>
          <w:sz w:val="30"/>
          <w:szCs w:val="30"/>
        </w:rPr>
        <w:t>下列各方构成企业的关联方：</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w:t>
      </w:r>
      <w:r>
        <w:rPr>
          <w:rFonts w:ascii="Times New Roman" w:eastAsia="方正仿宋_GBK" w:hAnsi="Times New Roman" w:cs="Times New Roman"/>
          <w:kern w:val="0"/>
          <w:sz w:val="30"/>
          <w:szCs w:val="30"/>
        </w:rPr>
        <w:t>一</w:t>
      </w:r>
      <w:r>
        <w:rPr>
          <w:rFonts w:ascii="Times New Roman" w:eastAsia="方正仿宋_GBK" w:hAnsi="Times New Roman" w:cs="Times New Roman"/>
          <w:kern w:val="0"/>
          <w:sz w:val="30"/>
          <w:szCs w:val="30"/>
        </w:rPr>
        <w:t xml:space="preserve">) </w:t>
      </w:r>
      <w:r>
        <w:rPr>
          <w:rFonts w:ascii="Times New Roman" w:eastAsia="方正仿宋_GBK" w:hAnsi="Times New Roman" w:cs="Times New Roman"/>
          <w:kern w:val="0"/>
          <w:sz w:val="30"/>
          <w:szCs w:val="30"/>
        </w:rPr>
        <w:t>该企业的母公司。</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w:t>
      </w:r>
      <w:r>
        <w:rPr>
          <w:rFonts w:ascii="Times New Roman" w:eastAsia="方正仿宋_GBK" w:hAnsi="Times New Roman" w:cs="Times New Roman"/>
          <w:kern w:val="0"/>
          <w:sz w:val="30"/>
          <w:szCs w:val="30"/>
        </w:rPr>
        <w:t>二</w:t>
      </w:r>
      <w:r>
        <w:rPr>
          <w:rFonts w:ascii="Times New Roman" w:eastAsia="方正仿宋_GBK" w:hAnsi="Times New Roman" w:cs="Times New Roman"/>
          <w:kern w:val="0"/>
          <w:sz w:val="30"/>
          <w:szCs w:val="30"/>
        </w:rPr>
        <w:t xml:space="preserve">) </w:t>
      </w:r>
      <w:r>
        <w:rPr>
          <w:rFonts w:ascii="Times New Roman" w:eastAsia="方正仿宋_GBK" w:hAnsi="Times New Roman" w:cs="Times New Roman"/>
          <w:kern w:val="0"/>
          <w:sz w:val="30"/>
          <w:szCs w:val="30"/>
        </w:rPr>
        <w:t>该企业的子公司。</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w:t>
      </w:r>
      <w:r>
        <w:rPr>
          <w:rFonts w:ascii="Times New Roman" w:eastAsia="方正仿宋_GBK" w:hAnsi="Times New Roman" w:cs="Times New Roman"/>
          <w:kern w:val="0"/>
          <w:sz w:val="30"/>
          <w:szCs w:val="30"/>
        </w:rPr>
        <w:t>三</w:t>
      </w:r>
      <w:r>
        <w:rPr>
          <w:rFonts w:ascii="Times New Roman" w:eastAsia="方正仿宋_GBK" w:hAnsi="Times New Roman" w:cs="Times New Roman"/>
          <w:kern w:val="0"/>
          <w:sz w:val="30"/>
          <w:szCs w:val="30"/>
        </w:rPr>
        <w:t xml:space="preserve">) </w:t>
      </w:r>
      <w:r>
        <w:rPr>
          <w:rFonts w:ascii="Times New Roman" w:eastAsia="方正仿宋_GBK" w:hAnsi="Times New Roman" w:cs="Times New Roman"/>
          <w:kern w:val="0"/>
          <w:sz w:val="30"/>
          <w:szCs w:val="30"/>
        </w:rPr>
        <w:t>与该企业受同一母公司控制的其他企业。</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w:t>
      </w:r>
      <w:r>
        <w:rPr>
          <w:rFonts w:ascii="Times New Roman" w:eastAsia="方正仿宋_GBK" w:hAnsi="Times New Roman" w:cs="Times New Roman"/>
          <w:kern w:val="0"/>
          <w:sz w:val="30"/>
          <w:szCs w:val="30"/>
        </w:rPr>
        <w:t>四</w:t>
      </w:r>
      <w:r>
        <w:rPr>
          <w:rFonts w:ascii="Times New Roman" w:eastAsia="方正仿宋_GBK" w:hAnsi="Times New Roman" w:cs="Times New Roman"/>
          <w:kern w:val="0"/>
          <w:sz w:val="30"/>
          <w:szCs w:val="30"/>
        </w:rPr>
        <w:t xml:space="preserve">) </w:t>
      </w:r>
      <w:r>
        <w:rPr>
          <w:rFonts w:ascii="Times New Roman" w:eastAsia="方正仿宋_GBK" w:hAnsi="Times New Roman" w:cs="Times New Roman"/>
          <w:kern w:val="0"/>
          <w:sz w:val="30"/>
          <w:szCs w:val="30"/>
        </w:rPr>
        <w:t>对该企业实施共同控制的投资方。</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w:t>
      </w:r>
      <w:r>
        <w:rPr>
          <w:rFonts w:ascii="Times New Roman" w:eastAsia="方正仿宋_GBK" w:hAnsi="Times New Roman" w:cs="Times New Roman"/>
          <w:kern w:val="0"/>
          <w:sz w:val="30"/>
          <w:szCs w:val="30"/>
        </w:rPr>
        <w:t>五</w:t>
      </w:r>
      <w:r>
        <w:rPr>
          <w:rFonts w:ascii="Times New Roman" w:eastAsia="方正仿宋_GBK" w:hAnsi="Times New Roman" w:cs="Times New Roman"/>
          <w:kern w:val="0"/>
          <w:sz w:val="30"/>
          <w:szCs w:val="30"/>
        </w:rPr>
        <w:t xml:space="preserve">) </w:t>
      </w:r>
      <w:r>
        <w:rPr>
          <w:rFonts w:ascii="Times New Roman" w:eastAsia="方正仿宋_GBK" w:hAnsi="Times New Roman" w:cs="Times New Roman"/>
          <w:kern w:val="0"/>
          <w:sz w:val="30"/>
          <w:szCs w:val="30"/>
        </w:rPr>
        <w:t>对该企业施加重大影响的投资方。</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w:t>
      </w:r>
      <w:r>
        <w:rPr>
          <w:rFonts w:ascii="Times New Roman" w:eastAsia="方正仿宋_GBK" w:hAnsi="Times New Roman" w:cs="Times New Roman"/>
          <w:kern w:val="0"/>
          <w:sz w:val="30"/>
          <w:szCs w:val="30"/>
        </w:rPr>
        <w:t>六</w:t>
      </w:r>
      <w:r>
        <w:rPr>
          <w:rFonts w:ascii="Times New Roman" w:eastAsia="方正仿宋_GBK" w:hAnsi="Times New Roman" w:cs="Times New Roman"/>
          <w:kern w:val="0"/>
          <w:sz w:val="30"/>
          <w:szCs w:val="30"/>
        </w:rPr>
        <w:t xml:space="preserve">) </w:t>
      </w:r>
      <w:r>
        <w:rPr>
          <w:rFonts w:ascii="Times New Roman" w:eastAsia="方正仿宋_GBK" w:hAnsi="Times New Roman" w:cs="Times New Roman"/>
          <w:kern w:val="0"/>
          <w:sz w:val="30"/>
          <w:szCs w:val="30"/>
        </w:rPr>
        <w:t>该企业的合营企业。</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w:t>
      </w:r>
      <w:r>
        <w:rPr>
          <w:rFonts w:ascii="Times New Roman" w:eastAsia="方正仿宋_GBK" w:hAnsi="Times New Roman" w:cs="Times New Roman"/>
          <w:kern w:val="0"/>
          <w:sz w:val="30"/>
          <w:szCs w:val="30"/>
        </w:rPr>
        <w:t>七</w:t>
      </w:r>
      <w:r>
        <w:rPr>
          <w:rFonts w:ascii="Times New Roman" w:eastAsia="方正仿宋_GBK" w:hAnsi="Times New Roman" w:cs="Times New Roman"/>
          <w:kern w:val="0"/>
          <w:sz w:val="30"/>
          <w:szCs w:val="30"/>
        </w:rPr>
        <w:t xml:space="preserve">) </w:t>
      </w:r>
      <w:r>
        <w:rPr>
          <w:rFonts w:ascii="Times New Roman" w:eastAsia="方正仿宋_GBK" w:hAnsi="Times New Roman" w:cs="Times New Roman"/>
          <w:kern w:val="0"/>
          <w:sz w:val="30"/>
          <w:szCs w:val="30"/>
        </w:rPr>
        <w:t>该企业的联营企业。</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w:t>
      </w:r>
      <w:r>
        <w:rPr>
          <w:rFonts w:ascii="Times New Roman" w:eastAsia="方正仿宋_GBK" w:hAnsi="Times New Roman" w:cs="Times New Roman"/>
          <w:kern w:val="0"/>
          <w:sz w:val="30"/>
          <w:szCs w:val="30"/>
        </w:rPr>
        <w:t>八</w:t>
      </w:r>
      <w:r>
        <w:rPr>
          <w:rFonts w:ascii="Times New Roman" w:eastAsia="方正仿宋_GBK" w:hAnsi="Times New Roman" w:cs="Times New Roman"/>
          <w:kern w:val="0"/>
          <w:sz w:val="30"/>
          <w:szCs w:val="30"/>
        </w:rPr>
        <w:t xml:space="preserve">) </w:t>
      </w:r>
      <w:r>
        <w:rPr>
          <w:rFonts w:ascii="Times New Roman" w:eastAsia="方正仿宋_GBK" w:hAnsi="Times New Roman" w:cs="Times New Roman"/>
          <w:kern w:val="0"/>
          <w:sz w:val="30"/>
          <w:szCs w:val="30"/>
        </w:rPr>
        <w:t>该企业的主要投资者个人及与其关系密切的家庭成员。主要投资者个人，是指能够控制、共同控制一个企业或者对一个企业施加重大影响的个人投资者。</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lastRenderedPageBreak/>
        <w:t>(</w:t>
      </w:r>
      <w:r>
        <w:rPr>
          <w:rFonts w:ascii="Times New Roman" w:eastAsia="方正仿宋_GBK" w:hAnsi="Times New Roman" w:cs="Times New Roman"/>
          <w:kern w:val="0"/>
          <w:sz w:val="30"/>
          <w:szCs w:val="30"/>
        </w:rPr>
        <w:t>九</w:t>
      </w:r>
      <w:r>
        <w:rPr>
          <w:rFonts w:ascii="Times New Roman" w:eastAsia="方正仿宋_GBK" w:hAnsi="Times New Roman" w:cs="Times New Roman"/>
          <w:kern w:val="0"/>
          <w:sz w:val="30"/>
          <w:szCs w:val="30"/>
        </w:rPr>
        <w:t xml:space="preserve">) </w:t>
      </w:r>
      <w:r>
        <w:rPr>
          <w:rFonts w:ascii="Times New Roman" w:eastAsia="方正仿宋_GBK" w:hAnsi="Times New Roman" w:cs="Times New Roman"/>
          <w:kern w:val="0"/>
          <w:sz w:val="30"/>
          <w:szCs w:val="30"/>
        </w:rPr>
        <w:t>该企业或其母公司的关键管理人员及与其关系密切的家庭成员。关键管理人员，是指有权力并负责计划、指挥和控制企业活动的人员。与主要投资者个人或关键管理人员关系密切的家庭成员，是指在处理与企业的交易时可能影响该个人或受该个人影响的家庭成员。</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w:t>
      </w:r>
      <w:r>
        <w:rPr>
          <w:rFonts w:ascii="Times New Roman" w:eastAsia="方正仿宋_GBK" w:hAnsi="Times New Roman" w:cs="Times New Roman"/>
          <w:kern w:val="0"/>
          <w:sz w:val="30"/>
          <w:szCs w:val="30"/>
        </w:rPr>
        <w:t>十</w:t>
      </w:r>
      <w:r>
        <w:rPr>
          <w:rFonts w:ascii="Times New Roman" w:eastAsia="方正仿宋_GBK" w:hAnsi="Times New Roman" w:cs="Times New Roman"/>
          <w:kern w:val="0"/>
          <w:sz w:val="30"/>
          <w:szCs w:val="30"/>
        </w:rPr>
        <w:t xml:space="preserve">) </w:t>
      </w:r>
      <w:r>
        <w:rPr>
          <w:rFonts w:ascii="Times New Roman" w:eastAsia="方正仿宋_GBK" w:hAnsi="Times New Roman" w:cs="Times New Roman"/>
          <w:kern w:val="0"/>
          <w:sz w:val="30"/>
          <w:szCs w:val="30"/>
        </w:rPr>
        <w:t>该企业主要投资者个人、关键管理人员或与其关系密切的家庭成员控制、共同控制或施加重大影响的其他企业。</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第五条</w:t>
      </w:r>
      <w:r>
        <w:rPr>
          <w:rFonts w:ascii="Times New Roman" w:eastAsia="方正仿宋_GBK" w:hAnsi="Times New Roman" w:cs="Times New Roman" w:hint="eastAsia"/>
          <w:kern w:val="0"/>
          <w:sz w:val="30"/>
          <w:szCs w:val="30"/>
        </w:rPr>
        <w:t xml:space="preserve">  </w:t>
      </w:r>
      <w:r>
        <w:rPr>
          <w:rFonts w:ascii="Times New Roman" w:eastAsia="方正仿宋_GBK" w:hAnsi="Times New Roman" w:cs="Times New Roman"/>
          <w:kern w:val="0"/>
          <w:sz w:val="30"/>
          <w:szCs w:val="30"/>
        </w:rPr>
        <w:t>仅与企业存在下列关系的各方，不构成企业的关联方：</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w:t>
      </w:r>
      <w:r>
        <w:rPr>
          <w:rFonts w:ascii="Times New Roman" w:eastAsia="方正仿宋_GBK" w:hAnsi="Times New Roman" w:cs="Times New Roman"/>
          <w:kern w:val="0"/>
          <w:sz w:val="30"/>
          <w:szCs w:val="30"/>
        </w:rPr>
        <w:t>一</w:t>
      </w:r>
      <w:r>
        <w:rPr>
          <w:rFonts w:ascii="Times New Roman" w:eastAsia="方正仿宋_GBK" w:hAnsi="Times New Roman" w:cs="Times New Roman"/>
          <w:kern w:val="0"/>
          <w:sz w:val="30"/>
          <w:szCs w:val="30"/>
        </w:rPr>
        <w:t xml:space="preserve">) </w:t>
      </w:r>
      <w:r>
        <w:rPr>
          <w:rFonts w:ascii="Times New Roman" w:eastAsia="方正仿宋_GBK" w:hAnsi="Times New Roman" w:cs="Times New Roman"/>
          <w:kern w:val="0"/>
          <w:sz w:val="30"/>
          <w:szCs w:val="30"/>
        </w:rPr>
        <w:t>与该企业发生日常往来的资金提供者、公用事业部门、政府部门和机构。</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w:t>
      </w:r>
      <w:r>
        <w:rPr>
          <w:rFonts w:ascii="Times New Roman" w:eastAsia="方正仿宋_GBK" w:hAnsi="Times New Roman" w:cs="Times New Roman"/>
          <w:kern w:val="0"/>
          <w:sz w:val="30"/>
          <w:szCs w:val="30"/>
        </w:rPr>
        <w:t>二</w:t>
      </w:r>
      <w:r>
        <w:rPr>
          <w:rFonts w:ascii="Times New Roman" w:eastAsia="方正仿宋_GBK" w:hAnsi="Times New Roman" w:cs="Times New Roman"/>
          <w:kern w:val="0"/>
          <w:sz w:val="30"/>
          <w:szCs w:val="30"/>
        </w:rPr>
        <w:t xml:space="preserve">) </w:t>
      </w:r>
      <w:r>
        <w:rPr>
          <w:rFonts w:ascii="Times New Roman" w:eastAsia="方正仿宋_GBK" w:hAnsi="Times New Roman" w:cs="Times New Roman"/>
          <w:kern w:val="0"/>
          <w:sz w:val="30"/>
          <w:szCs w:val="30"/>
        </w:rPr>
        <w:t>与该企业发生大量交易而存在经济依存关系的单个客户、供应商、特许商、经销商或代理商。</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w:t>
      </w:r>
      <w:r>
        <w:rPr>
          <w:rFonts w:ascii="Times New Roman" w:eastAsia="方正仿宋_GBK" w:hAnsi="Times New Roman" w:cs="Times New Roman"/>
          <w:kern w:val="0"/>
          <w:sz w:val="30"/>
          <w:szCs w:val="30"/>
        </w:rPr>
        <w:t>三</w:t>
      </w:r>
      <w:r>
        <w:rPr>
          <w:rFonts w:ascii="Times New Roman" w:eastAsia="方正仿宋_GBK" w:hAnsi="Times New Roman" w:cs="Times New Roman"/>
          <w:kern w:val="0"/>
          <w:sz w:val="30"/>
          <w:szCs w:val="30"/>
        </w:rPr>
        <w:t xml:space="preserve">) </w:t>
      </w:r>
      <w:r>
        <w:rPr>
          <w:rFonts w:ascii="Times New Roman" w:eastAsia="方正仿宋_GBK" w:hAnsi="Times New Roman" w:cs="Times New Roman"/>
          <w:kern w:val="0"/>
          <w:sz w:val="30"/>
          <w:szCs w:val="30"/>
        </w:rPr>
        <w:t>与该企业共同控制合营企业的合营者。</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第六条</w:t>
      </w:r>
      <w:r>
        <w:rPr>
          <w:rFonts w:ascii="Times New Roman" w:eastAsia="方正仿宋_GBK" w:hAnsi="Times New Roman" w:cs="Times New Roman" w:hint="eastAsia"/>
          <w:kern w:val="0"/>
          <w:sz w:val="30"/>
          <w:szCs w:val="30"/>
        </w:rPr>
        <w:t xml:space="preserve">  </w:t>
      </w:r>
      <w:r>
        <w:rPr>
          <w:rFonts w:ascii="Times New Roman" w:eastAsia="方正仿宋_GBK" w:hAnsi="Times New Roman" w:cs="Times New Roman"/>
          <w:kern w:val="0"/>
          <w:sz w:val="30"/>
          <w:szCs w:val="30"/>
        </w:rPr>
        <w:t>仅仅同受国家控制而不存在其他关联方关系的企业，不构成关联方。</w:t>
      </w:r>
    </w:p>
    <w:p w:rsidR="00F43A36" w:rsidRDefault="00061A8A">
      <w:pPr>
        <w:autoSpaceDE w:val="0"/>
        <w:autoSpaceDN w:val="0"/>
        <w:adjustRightInd w:val="0"/>
        <w:spacing w:line="560" w:lineRule="exact"/>
        <w:ind w:firstLineChars="200" w:firstLine="600"/>
        <w:rPr>
          <w:rFonts w:ascii="黑体" w:eastAsia="黑体" w:hAnsi="黑体" w:cs="Times New Roman"/>
          <w:bCs/>
          <w:kern w:val="0"/>
          <w:sz w:val="30"/>
          <w:szCs w:val="30"/>
        </w:rPr>
      </w:pPr>
      <w:r>
        <w:rPr>
          <w:rFonts w:ascii="黑体" w:eastAsia="黑体" w:hAnsi="黑体" w:cs="Times New Roman"/>
          <w:bCs/>
          <w:kern w:val="0"/>
          <w:sz w:val="30"/>
          <w:szCs w:val="30"/>
        </w:rPr>
        <w:t>六、《国际会计准则第24 号—关联方披露》定义的关联方如下：</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9.</w:t>
      </w:r>
      <w:r>
        <w:rPr>
          <w:rFonts w:ascii="Times New Roman" w:eastAsia="方正仿宋_GBK" w:hAnsi="Times New Roman" w:cs="Times New Roman"/>
          <w:kern w:val="0"/>
          <w:sz w:val="30"/>
          <w:szCs w:val="30"/>
        </w:rPr>
        <w:t>本准则使用的下列术语，其含义为：</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关联方是指与财务报告的准备主体（以下简称</w:t>
      </w:r>
      <w:r>
        <w:rPr>
          <w:rFonts w:ascii="Times New Roman" w:eastAsia="方正仿宋_GBK" w:hAnsi="Times New Roman" w:cs="Times New Roman"/>
          <w:kern w:val="0"/>
          <w:sz w:val="30"/>
          <w:szCs w:val="30"/>
        </w:rPr>
        <w:t>“</w:t>
      </w:r>
      <w:r>
        <w:rPr>
          <w:rFonts w:ascii="Times New Roman" w:eastAsia="方正仿宋_GBK" w:hAnsi="Times New Roman" w:cs="Times New Roman"/>
          <w:kern w:val="0"/>
          <w:sz w:val="30"/>
          <w:szCs w:val="30"/>
        </w:rPr>
        <w:t>报告主体</w:t>
      </w:r>
      <w:r>
        <w:rPr>
          <w:rFonts w:ascii="Times New Roman" w:eastAsia="方正仿宋_GBK" w:hAnsi="Times New Roman" w:cs="Times New Roman"/>
          <w:kern w:val="0"/>
          <w:sz w:val="30"/>
          <w:szCs w:val="30"/>
        </w:rPr>
        <w:t>”</w:t>
      </w:r>
      <w:r>
        <w:rPr>
          <w:rFonts w:ascii="Times New Roman" w:eastAsia="方正仿宋_GBK" w:hAnsi="Times New Roman" w:cs="Times New Roman"/>
          <w:kern w:val="0"/>
          <w:sz w:val="30"/>
          <w:szCs w:val="30"/>
        </w:rPr>
        <w:t>）有关联的个人或实体。</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w:t>
      </w:r>
      <w:r>
        <w:rPr>
          <w:rFonts w:ascii="Times New Roman" w:eastAsia="方正仿宋_GBK" w:hAnsi="Times New Roman" w:cs="Times New Roman"/>
          <w:kern w:val="0"/>
          <w:sz w:val="30"/>
          <w:szCs w:val="30"/>
        </w:rPr>
        <w:t>a</w:t>
      </w:r>
      <w:r>
        <w:rPr>
          <w:rFonts w:ascii="Times New Roman" w:eastAsia="方正仿宋_GBK" w:hAnsi="Times New Roman" w:cs="Times New Roman"/>
          <w:kern w:val="0"/>
          <w:sz w:val="30"/>
          <w:szCs w:val="30"/>
        </w:rPr>
        <w:t>）个人或与个人关系密切的家庭成员与报告主体有关联，</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如果：</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w:t>
      </w:r>
      <w:r>
        <w:rPr>
          <w:rFonts w:ascii="Times New Roman" w:eastAsia="方正仿宋_GBK" w:hAnsi="Times New Roman" w:cs="Times New Roman"/>
          <w:kern w:val="0"/>
          <w:sz w:val="30"/>
          <w:szCs w:val="30"/>
        </w:rPr>
        <w:t>i</w:t>
      </w:r>
      <w:r>
        <w:rPr>
          <w:rFonts w:ascii="Times New Roman" w:eastAsia="方正仿宋_GBK" w:hAnsi="Times New Roman" w:cs="Times New Roman"/>
          <w:kern w:val="0"/>
          <w:sz w:val="30"/>
          <w:szCs w:val="30"/>
        </w:rPr>
        <w:t>）控制或共同控制了报告主体；</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lastRenderedPageBreak/>
        <w:t>（</w:t>
      </w:r>
      <w:r>
        <w:rPr>
          <w:rFonts w:ascii="Times New Roman" w:eastAsia="方正仿宋_GBK" w:hAnsi="Times New Roman" w:cs="Times New Roman"/>
          <w:kern w:val="0"/>
          <w:sz w:val="30"/>
          <w:szCs w:val="30"/>
        </w:rPr>
        <w:t>ii</w:t>
      </w:r>
      <w:r>
        <w:rPr>
          <w:rFonts w:ascii="Times New Roman" w:eastAsia="方正仿宋_GBK" w:hAnsi="Times New Roman" w:cs="Times New Roman"/>
          <w:kern w:val="0"/>
          <w:sz w:val="30"/>
          <w:szCs w:val="30"/>
        </w:rPr>
        <w:t>）对报告主体有重大影响；或</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w:t>
      </w:r>
      <w:r>
        <w:rPr>
          <w:rFonts w:ascii="Times New Roman" w:eastAsia="方正仿宋_GBK" w:hAnsi="Times New Roman" w:cs="Times New Roman"/>
          <w:kern w:val="0"/>
          <w:sz w:val="30"/>
          <w:szCs w:val="30"/>
        </w:rPr>
        <w:t>iii</w:t>
      </w:r>
      <w:r>
        <w:rPr>
          <w:rFonts w:ascii="Times New Roman" w:eastAsia="方正仿宋_GBK" w:hAnsi="Times New Roman" w:cs="Times New Roman"/>
          <w:kern w:val="0"/>
          <w:sz w:val="30"/>
          <w:szCs w:val="30"/>
        </w:rPr>
        <w:t>）是报告主体或其母公司的关键管理人员。</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w:t>
      </w:r>
      <w:r>
        <w:rPr>
          <w:rFonts w:ascii="Times New Roman" w:eastAsia="方正仿宋_GBK" w:hAnsi="Times New Roman" w:cs="Times New Roman"/>
          <w:kern w:val="0"/>
          <w:sz w:val="30"/>
          <w:szCs w:val="30"/>
        </w:rPr>
        <w:t>b</w:t>
      </w:r>
      <w:r>
        <w:rPr>
          <w:rFonts w:ascii="Times New Roman" w:eastAsia="方正仿宋_GBK" w:hAnsi="Times New Roman" w:cs="Times New Roman"/>
          <w:kern w:val="0"/>
          <w:sz w:val="30"/>
          <w:szCs w:val="30"/>
        </w:rPr>
        <w:t>）某一实体与报告主体有关联，如果满足下列条件之一：</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w:t>
      </w:r>
      <w:r>
        <w:rPr>
          <w:rFonts w:ascii="Times New Roman" w:eastAsia="方正仿宋_GBK" w:hAnsi="Times New Roman" w:cs="Times New Roman"/>
          <w:kern w:val="0"/>
          <w:sz w:val="30"/>
          <w:szCs w:val="30"/>
        </w:rPr>
        <w:t>i</w:t>
      </w:r>
      <w:r>
        <w:rPr>
          <w:rFonts w:ascii="Times New Roman" w:eastAsia="方正仿宋_GBK" w:hAnsi="Times New Roman" w:cs="Times New Roman"/>
          <w:kern w:val="0"/>
          <w:sz w:val="30"/>
          <w:szCs w:val="30"/>
        </w:rPr>
        <w:t>）该实体和报告主体是同一集团的成员（这意味着母公司、子公司和同级子公司相互关联）；</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w:t>
      </w:r>
      <w:r>
        <w:rPr>
          <w:rFonts w:ascii="Times New Roman" w:eastAsia="方正仿宋_GBK" w:hAnsi="Times New Roman" w:cs="Times New Roman"/>
          <w:kern w:val="0"/>
          <w:sz w:val="30"/>
          <w:szCs w:val="30"/>
        </w:rPr>
        <w:t>ii</w:t>
      </w:r>
      <w:r>
        <w:rPr>
          <w:rFonts w:ascii="Times New Roman" w:eastAsia="方正仿宋_GBK" w:hAnsi="Times New Roman" w:cs="Times New Roman"/>
          <w:kern w:val="0"/>
          <w:sz w:val="30"/>
          <w:szCs w:val="30"/>
        </w:rPr>
        <w:t>）一方是另一方的联营企业或者合营企业（或者是另一方所在集团成员的联营企业或者合营企业）；</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w:t>
      </w:r>
      <w:r>
        <w:rPr>
          <w:rFonts w:ascii="Times New Roman" w:eastAsia="方正仿宋_GBK" w:hAnsi="Times New Roman" w:cs="Times New Roman"/>
          <w:kern w:val="0"/>
          <w:sz w:val="30"/>
          <w:szCs w:val="30"/>
        </w:rPr>
        <w:t>iii</w:t>
      </w:r>
      <w:r>
        <w:rPr>
          <w:rFonts w:ascii="Times New Roman" w:eastAsia="方正仿宋_GBK" w:hAnsi="Times New Roman" w:cs="Times New Roman"/>
          <w:kern w:val="0"/>
          <w:sz w:val="30"/>
          <w:szCs w:val="30"/>
        </w:rPr>
        <w:t>）双方同是第三方的合营企业；</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w:t>
      </w:r>
      <w:r>
        <w:rPr>
          <w:rFonts w:ascii="Times New Roman" w:eastAsia="方正仿宋_GBK" w:hAnsi="Times New Roman" w:cs="Times New Roman"/>
          <w:kern w:val="0"/>
          <w:sz w:val="30"/>
          <w:szCs w:val="30"/>
        </w:rPr>
        <w:t>iv</w:t>
      </w:r>
      <w:r>
        <w:rPr>
          <w:rFonts w:ascii="Times New Roman" w:eastAsia="方正仿宋_GBK" w:hAnsi="Times New Roman" w:cs="Times New Roman"/>
          <w:kern w:val="0"/>
          <w:sz w:val="30"/>
          <w:szCs w:val="30"/>
        </w:rPr>
        <w:t>）一方是第三方的合营企业，另一方是第三方的联营企业；</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w:t>
      </w:r>
      <w:r>
        <w:rPr>
          <w:rFonts w:ascii="Times New Roman" w:eastAsia="方正仿宋_GBK" w:hAnsi="Times New Roman" w:cs="Times New Roman"/>
          <w:kern w:val="0"/>
          <w:sz w:val="30"/>
          <w:szCs w:val="30"/>
        </w:rPr>
        <w:t>v</w:t>
      </w:r>
      <w:r>
        <w:rPr>
          <w:rFonts w:ascii="Times New Roman" w:eastAsia="方正仿宋_GBK" w:hAnsi="Times New Roman" w:cs="Times New Roman"/>
          <w:kern w:val="0"/>
          <w:sz w:val="30"/>
          <w:szCs w:val="30"/>
        </w:rPr>
        <w:t>）该实体是为报告主体或作为报告主体关联方的任何主体的雇员福利而设的离职后福利计划。如果报告主体本身为离职后福利计划，发起人与报告主体也互相关联。</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w:t>
      </w:r>
      <w:r>
        <w:rPr>
          <w:rFonts w:ascii="Times New Roman" w:eastAsia="方正仿宋_GBK" w:hAnsi="Times New Roman" w:cs="Times New Roman"/>
          <w:kern w:val="0"/>
          <w:sz w:val="30"/>
          <w:szCs w:val="30"/>
        </w:rPr>
        <w:t>vi</w:t>
      </w:r>
      <w:r>
        <w:rPr>
          <w:rFonts w:ascii="Times New Roman" w:eastAsia="方正仿宋_GBK" w:hAnsi="Times New Roman" w:cs="Times New Roman"/>
          <w:kern w:val="0"/>
          <w:sz w:val="30"/>
          <w:szCs w:val="30"/>
        </w:rPr>
        <w:t>）该实体被（</w:t>
      </w:r>
      <w:r>
        <w:rPr>
          <w:rFonts w:ascii="Times New Roman" w:eastAsia="方正仿宋_GBK" w:hAnsi="Times New Roman" w:cs="Times New Roman"/>
          <w:kern w:val="0"/>
          <w:sz w:val="30"/>
          <w:szCs w:val="30"/>
        </w:rPr>
        <w:t>a</w:t>
      </w:r>
      <w:r>
        <w:rPr>
          <w:rFonts w:ascii="Times New Roman" w:eastAsia="方正仿宋_GBK" w:hAnsi="Times New Roman" w:cs="Times New Roman"/>
          <w:kern w:val="0"/>
          <w:sz w:val="30"/>
          <w:szCs w:val="30"/>
        </w:rPr>
        <w:t>）项提及的个人控制或共同控制；</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w:t>
      </w:r>
      <w:r>
        <w:rPr>
          <w:rFonts w:ascii="Times New Roman" w:eastAsia="方正仿宋_GBK" w:hAnsi="Times New Roman" w:cs="Times New Roman"/>
          <w:kern w:val="0"/>
          <w:sz w:val="30"/>
          <w:szCs w:val="30"/>
        </w:rPr>
        <w:t>vii</w:t>
      </w:r>
      <w:r>
        <w:rPr>
          <w:rFonts w:ascii="Times New Roman" w:eastAsia="方正仿宋_GBK" w:hAnsi="Times New Roman" w:cs="Times New Roman"/>
          <w:kern w:val="0"/>
          <w:sz w:val="30"/>
          <w:szCs w:val="30"/>
        </w:rPr>
        <w:t>）（</w:t>
      </w:r>
      <w:r>
        <w:rPr>
          <w:rFonts w:ascii="Times New Roman" w:eastAsia="方正仿宋_GBK" w:hAnsi="Times New Roman" w:cs="Times New Roman"/>
          <w:kern w:val="0"/>
          <w:sz w:val="30"/>
          <w:szCs w:val="30"/>
        </w:rPr>
        <w:t>a</w:t>
      </w:r>
      <w:r>
        <w:rPr>
          <w:rFonts w:ascii="Times New Roman" w:eastAsia="方正仿宋_GBK" w:hAnsi="Times New Roman" w:cs="Times New Roman"/>
          <w:kern w:val="0"/>
          <w:sz w:val="30"/>
          <w:szCs w:val="30"/>
        </w:rPr>
        <w:t>）</w:t>
      </w:r>
      <w:r>
        <w:rPr>
          <w:rFonts w:ascii="Times New Roman" w:eastAsia="方正仿宋_GBK" w:hAnsi="Times New Roman" w:cs="Times New Roman"/>
          <w:kern w:val="0"/>
          <w:sz w:val="30"/>
          <w:szCs w:val="30"/>
        </w:rPr>
        <w:t>(i)</w:t>
      </w:r>
      <w:r>
        <w:rPr>
          <w:rFonts w:ascii="Times New Roman" w:eastAsia="方正仿宋_GBK" w:hAnsi="Times New Roman" w:cs="Times New Roman"/>
          <w:kern w:val="0"/>
          <w:sz w:val="30"/>
          <w:szCs w:val="30"/>
        </w:rPr>
        <w:t>项提及的个人对该实体可施加重大影响，或者是该实体（或该实体的母公司）的关键管理人员。与个人关系密切的家庭成员，指个人在与主体进行交易时，预计可能会影响该个人或受该个人影响的家庭成员。他们可能包括：</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w:t>
      </w:r>
      <w:r>
        <w:rPr>
          <w:rFonts w:ascii="Times New Roman" w:eastAsia="方正仿宋_GBK" w:hAnsi="Times New Roman" w:cs="Times New Roman"/>
          <w:kern w:val="0"/>
          <w:sz w:val="30"/>
          <w:szCs w:val="30"/>
        </w:rPr>
        <w:t>1</w:t>
      </w:r>
      <w:r>
        <w:rPr>
          <w:rFonts w:ascii="Times New Roman" w:eastAsia="方正仿宋_GBK" w:hAnsi="Times New Roman" w:cs="Times New Roman"/>
          <w:kern w:val="0"/>
          <w:sz w:val="30"/>
          <w:szCs w:val="30"/>
        </w:rPr>
        <w:t>）该个人的子女、配偶或生活伴侣；</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w:t>
      </w:r>
      <w:r>
        <w:rPr>
          <w:rFonts w:ascii="Times New Roman" w:eastAsia="方正仿宋_GBK" w:hAnsi="Times New Roman" w:cs="Times New Roman"/>
          <w:kern w:val="0"/>
          <w:sz w:val="30"/>
          <w:szCs w:val="30"/>
        </w:rPr>
        <w:t>2</w:t>
      </w:r>
      <w:r>
        <w:rPr>
          <w:rFonts w:ascii="Times New Roman" w:eastAsia="方正仿宋_GBK" w:hAnsi="Times New Roman" w:cs="Times New Roman"/>
          <w:kern w:val="0"/>
          <w:sz w:val="30"/>
          <w:szCs w:val="30"/>
        </w:rPr>
        <w:t>）该个人配偶或生活伴侣的子女；以及</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w:t>
      </w:r>
      <w:r>
        <w:rPr>
          <w:rFonts w:ascii="Times New Roman" w:eastAsia="方正仿宋_GBK" w:hAnsi="Times New Roman" w:cs="Times New Roman"/>
          <w:kern w:val="0"/>
          <w:sz w:val="30"/>
          <w:szCs w:val="30"/>
        </w:rPr>
        <w:t>3</w:t>
      </w:r>
      <w:r>
        <w:rPr>
          <w:rFonts w:ascii="Times New Roman" w:eastAsia="方正仿宋_GBK" w:hAnsi="Times New Roman" w:cs="Times New Roman"/>
          <w:kern w:val="0"/>
          <w:sz w:val="30"/>
          <w:szCs w:val="30"/>
        </w:rPr>
        <w:t>）依靠该个人或其配偶、生活伴侣生活的人。</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离职后福利，诸如养老金、其他退休福利、离职后人寿保险、以及离职后医疗保障；控制，指为了从主体的活动中获取利益而统驭该主体财务和经营政策的权力。共同控制，指合同约定的对</w:t>
      </w:r>
      <w:r>
        <w:rPr>
          <w:rFonts w:ascii="Times New Roman" w:eastAsia="方正仿宋_GBK" w:hAnsi="Times New Roman" w:cs="Times New Roman"/>
          <w:kern w:val="0"/>
          <w:sz w:val="30"/>
          <w:szCs w:val="30"/>
        </w:rPr>
        <w:lastRenderedPageBreak/>
        <w:t>某项经济活动所共有的控制。关键管理人员，指直接或间接地有权并负责计划、指挥和控制主体活动的人员，包括该主体的所有董事（无论执行董事或非执行董事）。重大影响，指参与主体财务和经营政策的决定，但不控制这些政策的权力。可以通过持股、章程或协议来获得重大影响。政府，包括地方性、全国性或国际性的政府机构、代理处及其类似机构。与政府有关联的实体，是指被政府控制、共同控制或有重大影响的实体。</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10.</w:t>
      </w:r>
      <w:r>
        <w:rPr>
          <w:rFonts w:ascii="Times New Roman" w:eastAsia="方正仿宋_GBK" w:hAnsi="Times New Roman" w:cs="Times New Roman"/>
          <w:kern w:val="0"/>
          <w:sz w:val="30"/>
          <w:szCs w:val="30"/>
        </w:rPr>
        <w:t>在考虑各种可能的关联方关系时，应当关注关系的实质而不仅仅是法律形式。</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11.</w:t>
      </w:r>
      <w:r>
        <w:rPr>
          <w:rFonts w:ascii="Times New Roman" w:eastAsia="方正仿宋_GBK" w:hAnsi="Times New Roman" w:cs="Times New Roman"/>
          <w:kern w:val="0"/>
          <w:sz w:val="30"/>
          <w:szCs w:val="30"/>
        </w:rPr>
        <w:t>在本准则中，下列情形不是关联方：</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w:t>
      </w:r>
      <w:r>
        <w:rPr>
          <w:rFonts w:ascii="Times New Roman" w:eastAsia="方正仿宋_GBK" w:hAnsi="Times New Roman" w:cs="Times New Roman"/>
          <w:kern w:val="0"/>
          <w:sz w:val="30"/>
          <w:szCs w:val="30"/>
        </w:rPr>
        <w:t>1</w:t>
      </w:r>
      <w:r>
        <w:rPr>
          <w:rFonts w:ascii="Times New Roman" w:eastAsia="方正仿宋_GBK" w:hAnsi="Times New Roman" w:cs="Times New Roman"/>
          <w:kern w:val="0"/>
          <w:sz w:val="30"/>
          <w:szCs w:val="30"/>
        </w:rPr>
        <w:t>）两个实体仅拥有一位共同董事或其他关键管理人员，或者仅因为一个实体的一位关键管理人员对另一实体有重大影响；</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w:t>
      </w:r>
      <w:r>
        <w:rPr>
          <w:rFonts w:ascii="Times New Roman" w:eastAsia="方正仿宋_GBK" w:hAnsi="Times New Roman" w:cs="Times New Roman"/>
          <w:kern w:val="0"/>
          <w:sz w:val="30"/>
          <w:szCs w:val="30"/>
        </w:rPr>
        <w:t>2</w:t>
      </w:r>
      <w:r>
        <w:rPr>
          <w:rFonts w:ascii="Times New Roman" w:eastAsia="方正仿宋_GBK" w:hAnsi="Times New Roman" w:cs="Times New Roman"/>
          <w:kern w:val="0"/>
          <w:sz w:val="30"/>
          <w:szCs w:val="30"/>
        </w:rPr>
        <w:t>）仅共享合营企业控制权的两个合营者。</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w:t>
      </w:r>
      <w:r>
        <w:rPr>
          <w:rFonts w:ascii="Times New Roman" w:eastAsia="方正仿宋_GBK" w:hAnsi="Times New Roman" w:cs="Times New Roman"/>
          <w:kern w:val="0"/>
          <w:sz w:val="30"/>
          <w:szCs w:val="30"/>
        </w:rPr>
        <w:t>3</w:t>
      </w:r>
      <w:r>
        <w:rPr>
          <w:rFonts w:ascii="Times New Roman" w:eastAsia="方正仿宋_GBK" w:hAnsi="Times New Roman" w:cs="Times New Roman"/>
          <w:kern w:val="0"/>
          <w:sz w:val="30"/>
          <w:szCs w:val="30"/>
        </w:rPr>
        <w:t>）仅出于与主体间正常往来的：</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宋体" w:eastAsia="宋体" w:hAnsi="宋体" w:cs="宋体" w:hint="eastAsia"/>
          <w:kern w:val="0"/>
          <w:sz w:val="30"/>
          <w:szCs w:val="30"/>
        </w:rPr>
        <w:t>①</w:t>
      </w:r>
      <w:r>
        <w:rPr>
          <w:rFonts w:ascii="Times New Roman" w:eastAsia="方正仿宋_GBK" w:hAnsi="Times New Roman" w:cs="Times New Roman"/>
          <w:kern w:val="0"/>
          <w:sz w:val="30"/>
          <w:szCs w:val="30"/>
        </w:rPr>
        <w:t>资金提供者，</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宋体" w:eastAsia="宋体" w:hAnsi="宋体" w:cs="宋体" w:hint="eastAsia"/>
          <w:kern w:val="0"/>
          <w:sz w:val="30"/>
          <w:szCs w:val="30"/>
        </w:rPr>
        <w:t>②</w:t>
      </w:r>
      <w:r>
        <w:rPr>
          <w:rFonts w:ascii="Times New Roman" w:eastAsia="方正仿宋_GBK" w:hAnsi="Times New Roman" w:cs="Times New Roman"/>
          <w:kern w:val="0"/>
          <w:sz w:val="30"/>
          <w:szCs w:val="30"/>
        </w:rPr>
        <w:t>工会，</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宋体" w:eastAsia="宋体" w:hAnsi="宋体" w:cs="宋体" w:hint="eastAsia"/>
          <w:kern w:val="0"/>
          <w:sz w:val="30"/>
          <w:szCs w:val="30"/>
        </w:rPr>
        <w:t>③</w:t>
      </w:r>
      <w:r>
        <w:rPr>
          <w:rFonts w:ascii="Times New Roman" w:eastAsia="方正仿宋_GBK" w:hAnsi="Times New Roman" w:cs="Times New Roman"/>
          <w:kern w:val="0"/>
          <w:sz w:val="30"/>
          <w:szCs w:val="30"/>
        </w:rPr>
        <w:t>公用事业，以及</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宋体" w:eastAsia="宋体" w:hAnsi="宋体" w:cs="宋体" w:hint="eastAsia"/>
          <w:kern w:val="0"/>
          <w:sz w:val="30"/>
          <w:szCs w:val="30"/>
        </w:rPr>
        <w:t>④</w:t>
      </w:r>
      <w:r>
        <w:rPr>
          <w:rFonts w:ascii="Times New Roman" w:eastAsia="方正仿宋_GBK" w:hAnsi="Times New Roman" w:cs="Times New Roman"/>
          <w:kern w:val="0"/>
          <w:sz w:val="30"/>
          <w:szCs w:val="30"/>
        </w:rPr>
        <w:t>对报告主体无控制、共同控制或重大影响的政府部门和机构，（即使他们可能影响主体的行动自由或参与其决策过程）。</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kern w:val="0"/>
          <w:sz w:val="30"/>
          <w:szCs w:val="30"/>
        </w:rPr>
      </w:pPr>
      <w:r>
        <w:rPr>
          <w:rFonts w:ascii="Times New Roman" w:eastAsia="方正仿宋_GBK" w:hAnsi="Times New Roman" w:cs="Times New Roman"/>
          <w:kern w:val="0"/>
          <w:sz w:val="30"/>
          <w:szCs w:val="30"/>
        </w:rPr>
        <w:t>（</w:t>
      </w:r>
      <w:r>
        <w:rPr>
          <w:rFonts w:ascii="Times New Roman" w:eastAsia="方正仿宋_GBK" w:hAnsi="Times New Roman" w:cs="Times New Roman"/>
          <w:kern w:val="0"/>
          <w:sz w:val="30"/>
          <w:szCs w:val="30"/>
        </w:rPr>
        <w:t>4</w:t>
      </w:r>
      <w:r>
        <w:rPr>
          <w:rFonts w:ascii="Times New Roman" w:eastAsia="方正仿宋_GBK" w:hAnsi="Times New Roman" w:cs="Times New Roman"/>
          <w:kern w:val="0"/>
          <w:sz w:val="30"/>
          <w:szCs w:val="30"/>
        </w:rPr>
        <w:t>）仅出于经济依赖性，而与主体发生大量业务往来的客户、供应商、特许商、分销商或普通代理商。</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b/>
          <w:bCs/>
          <w:sz w:val="30"/>
          <w:szCs w:val="30"/>
        </w:rPr>
      </w:pPr>
      <w:r>
        <w:rPr>
          <w:rFonts w:ascii="Times New Roman" w:eastAsia="方正仿宋_GBK" w:hAnsi="Times New Roman" w:cs="Times New Roman"/>
          <w:kern w:val="0"/>
          <w:sz w:val="30"/>
          <w:szCs w:val="30"/>
        </w:rPr>
        <w:t>12.</w:t>
      </w:r>
      <w:r>
        <w:rPr>
          <w:rFonts w:ascii="Times New Roman" w:eastAsia="方正仿宋_GBK" w:hAnsi="Times New Roman" w:cs="Times New Roman"/>
          <w:kern w:val="0"/>
          <w:sz w:val="30"/>
          <w:szCs w:val="30"/>
        </w:rPr>
        <w:t>在关联方的定义中，联营企业包括该联营企业的子公司，合营企业包括该合营企业的子公司。因此，例如，联营企业的子</w:t>
      </w:r>
      <w:r>
        <w:rPr>
          <w:rFonts w:ascii="Times New Roman" w:eastAsia="方正仿宋_GBK" w:hAnsi="Times New Roman" w:cs="Times New Roman"/>
          <w:kern w:val="0"/>
          <w:sz w:val="30"/>
          <w:szCs w:val="30"/>
        </w:rPr>
        <w:lastRenderedPageBreak/>
        <w:t>公司和对该联营企业可施加重大影响的投资人相互关联。</w:t>
      </w:r>
    </w:p>
    <w:p w:rsidR="00F43A36" w:rsidRDefault="00F43A36"/>
    <w:p w:rsidR="00F43A36" w:rsidRDefault="00F43A36"/>
    <w:p w:rsidR="00F43A36" w:rsidRDefault="00F43A36"/>
    <w:p w:rsidR="00F43A36" w:rsidRDefault="00061A8A">
      <w:pPr>
        <w:rPr>
          <w:rFonts w:ascii="黑体" w:eastAsia="黑体" w:hAnsi="黑体"/>
          <w:sz w:val="32"/>
          <w:szCs w:val="32"/>
        </w:rPr>
      </w:pPr>
      <w:r>
        <w:rPr>
          <w:rFonts w:ascii="黑体" w:eastAsia="黑体" w:hAnsi="黑体" w:hint="eastAsia"/>
          <w:sz w:val="32"/>
          <w:szCs w:val="32"/>
        </w:rPr>
        <w:t>附件2</w:t>
      </w:r>
    </w:p>
    <w:p w:rsidR="00F43A36" w:rsidRDefault="00061A8A">
      <w:pPr>
        <w:jc w:val="center"/>
        <w:rPr>
          <w:rFonts w:ascii="黑体" w:eastAsia="黑体" w:hAnsi="黑体"/>
          <w:sz w:val="32"/>
          <w:szCs w:val="32"/>
        </w:rPr>
      </w:pPr>
      <w:r>
        <w:rPr>
          <w:rFonts w:ascii="黑体" w:eastAsia="黑体" w:hAnsi="黑体" w:hint="eastAsia"/>
          <w:sz w:val="32"/>
          <w:szCs w:val="32"/>
        </w:rPr>
        <w:t xml:space="preserve">     重庆农村商业银行关联方信息表</w:t>
      </w:r>
    </w:p>
    <w:p w:rsidR="00F43A36" w:rsidRDefault="00F43A36"/>
    <w:tbl>
      <w:tblPr>
        <w:tblW w:w="9020" w:type="dxa"/>
        <w:tblInd w:w="93" w:type="dxa"/>
        <w:tblLayout w:type="fixed"/>
        <w:tblLook w:val="04A0" w:firstRow="1" w:lastRow="0" w:firstColumn="1" w:lastColumn="0" w:noHBand="0" w:noVBand="1"/>
      </w:tblPr>
      <w:tblGrid>
        <w:gridCol w:w="913"/>
        <w:gridCol w:w="1302"/>
        <w:gridCol w:w="1591"/>
        <w:gridCol w:w="541"/>
        <w:gridCol w:w="542"/>
        <w:gridCol w:w="915"/>
        <w:gridCol w:w="914"/>
        <w:gridCol w:w="913"/>
        <w:gridCol w:w="1389"/>
      </w:tblGrid>
      <w:tr w:rsidR="00F43A36">
        <w:trPr>
          <w:trHeight w:val="684"/>
        </w:trPr>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rsidR="00F43A36" w:rsidRDefault="00061A8A">
            <w:pPr>
              <w:jc w:val="center"/>
              <w:rPr>
                <w:rFonts w:ascii="宋体" w:hAnsi="宋体" w:cs="宋体"/>
                <w:color w:val="000000"/>
                <w:sz w:val="20"/>
                <w:szCs w:val="20"/>
              </w:rPr>
            </w:pPr>
            <w:r>
              <w:rPr>
                <w:rFonts w:ascii="宋体" w:hAnsi="宋体" w:cs="宋体" w:hint="eastAsia"/>
                <w:color w:val="000000"/>
                <w:sz w:val="20"/>
                <w:szCs w:val="20"/>
              </w:rPr>
              <w:t>提出机构</w:t>
            </w:r>
          </w:p>
        </w:tc>
        <w:tc>
          <w:tcPr>
            <w:tcW w:w="4891" w:type="dxa"/>
            <w:gridSpan w:val="5"/>
            <w:tcBorders>
              <w:top w:val="single" w:sz="4" w:space="0" w:color="auto"/>
              <w:left w:val="nil"/>
              <w:bottom w:val="single" w:sz="4" w:space="0" w:color="auto"/>
              <w:right w:val="single" w:sz="4" w:space="0" w:color="auto"/>
            </w:tcBorders>
            <w:shd w:val="clear" w:color="auto" w:fill="auto"/>
            <w:vAlign w:val="center"/>
          </w:tcPr>
          <w:p w:rsidR="00F43A36" w:rsidRDefault="00061A8A">
            <w:pPr>
              <w:rPr>
                <w:color w:val="000000"/>
              </w:rPr>
            </w:pPr>
            <w:r>
              <w:rPr>
                <w:color w:val="000000"/>
              </w:rPr>
              <w:t xml:space="preserve">　</w:t>
            </w:r>
          </w:p>
        </w:tc>
        <w:tc>
          <w:tcPr>
            <w:tcW w:w="913" w:type="dxa"/>
            <w:tcBorders>
              <w:top w:val="single" w:sz="4" w:space="0" w:color="auto"/>
              <w:left w:val="nil"/>
              <w:bottom w:val="single" w:sz="4" w:space="0" w:color="auto"/>
              <w:right w:val="single" w:sz="4" w:space="0" w:color="auto"/>
            </w:tcBorders>
            <w:shd w:val="clear" w:color="auto" w:fill="auto"/>
            <w:vAlign w:val="center"/>
          </w:tcPr>
          <w:p w:rsidR="00F43A36" w:rsidRDefault="00061A8A">
            <w:pPr>
              <w:jc w:val="center"/>
              <w:rPr>
                <w:rFonts w:ascii="宋体" w:hAnsi="宋体" w:cs="宋体"/>
                <w:color w:val="000000"/>
                <w:sz w:val="20"/>
                <w:szCs w:val="20"/>
              </w:rPr>
            </w:pPr>
            <w:r>
              <w:rPr>
                <w:rFonts w:ascii="宋体" w:hAnsi="宋体" w:cs="宋体" w:hint="eastAsia"/>
                <w:color w:val="000000"/>
                <w:sz w:val="20"/>
                <w:szCs w:val="20"/>
              </w:rPr>
              <w:t>日期</w:t>
            </w:r>
          </w:p>
        </w:tc>
        <w:tc>
          <w:tcPr>
            <w:tcW w:w="2302" w:type="dxa"/>
            <w:gridSpan w:val="2"/>
            <w:tcBorders>
              <w:top w:val="single" w:sz="4" w:space="0" w:color="auto"/>
              <w:left w:val="nil"/>
              <w:bottom w:val="single" w:sz="4" w:space="0" w:color="auto"/>
              <w:right w:val="single" w:sz="4" w:space="0" w:color="auto"/>
            </w:tcBorders>
            <w:shd w:val="clear" w:color="auto" w:fill="auto"/>
          </w:tcPr>
          <w:p w:rsidR="00F43A36" w:rsidRDefault="00061A8A">
            <w:pPr>
              <w:rPr>
                <w:color w:val="000000"/>
              </w:rPr>
            </w:pPr>
            <w:r>
              <w:rPr>
                <w:color w:val="000000"/>
              </w:rPr>
              <w:t xml:space="preserve">　</w:t>
            </w:r>
          </w:p>
        </w:tc>
      </w:tr>
      <w:tr w:rsidR="00F43A36">
        <w:trPr>
          <w:trHeight w:val="684"/>
        </w:trPr>
        <w:tc>
          <w:tcPr>
            <w:tcW w:w="4349"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43A36" w:rsidRDefault="00061A8A">
            <w:pPr>
              <w:jc w:val="center"/>
              <w:rPr>
                <w:rFonts w:ascii="宋体" w:hAnsi="宋体" w:cs="宋体"/>
                <w:color w:val="000000"/>
                <w:sz w:val="20"/>
                <w:szCs w:val="20"/>
              </w:rPr>
            </w:pPr>
            <w:r>
              <w:rPr>
                <w:rFonts w:ascii="宋体" w:hAnsi="宋体" w:cs="宋体" w:hint="eastAsia"/>
                <w:color w:val="000000"/>
                <w:sz w:val="20"/>
                <w:szCs w:val="20"/>
              </w:rPr>
              <w:t>关联方变更原因</w:t>
            </w:r>
          </w:p>
        </w:tc>
        <w:tc>
          <w:tcPr>
            <w:tcW w:w="4671" w:type="dxa"/>
            <w:gridSpan w:val="5"/>
            <w:tcBorders>
              <w:top w:val="single" w:sz="4" w:space="0" w:color="auto"/>
              <w:left w:val="nil"/>
              <w:bottom w:val="single" w:sz="4" w:space="0" w:color="auto"/>
              <w:right w:val="single" w:sz="4" w:space="0" w:color="auto"/>
            </w:tcBorders>
            <w:shd w:val="clear" w:color="auto" w:fill="auto"/>
            <w:vAlign w:val="center"/>
          </w:tcPr>
          <w:p w:rsidR="00F43A36" w:rsidRDefault="00061A8A">
            <w:pPr>
              <w:rPr>
                <w:rFonts w:ascii="宋体" w:hAnsi="宋体" w:cs="宋体"/>
                <w:color w:val="000000"/>
                <w:sz w:val="20"/>
                <w:szCs w:val="20"/>
              </w:rPr>
            </w:pPr>
            <w:r>
              <w:rPr>
                <w:rFonts w:ascii="宋体" w:hAnsi="宋体" w:cs="宋体" w:hint="eastAsia"/>
                <w:color w:val="000000"/>
                <w:sz w:val="20"/>
                <w:szCs w:val="20"/>
              </w:rPr>
              <w:t>（</w:t>
            </w:r>
            <w:r>
              <w:rPr>
                <w:color w:val="000000"/>
                <w:sz w:val="20"/>
                <w:szCs w:val="20"/>
              </w:rPr>
              <w:t xml:space="preserve"> </w:t>
            </w:r>
            <w:r>
              <w:rPr>
                <w:rFonts w:ascii="宋体" w:hAnsi="宋体" w:cs="宋体" w:hint="eastAsia"/>
                <w:color w:val="000000"/>
                <w:sz w:val="20"/>
                <w:szCs w:val="20"/>
              </w:rPr>
              <w:t>）定期更新</w:t>
            </w:r>
          </w:p>
        </w:tc>
      </w:tr>
      <w:tr w:rsidR="00F43A36">
        <w:trPr>
          <w:trHeight w:val="684"/>
        </w:trPr>
        <w:tc>
          <w:tcPr>
            <w:tcW w:w="4349"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F43A36" w:rsidRDefault="00F43A36">
            <w:pPr>
              <w:rPr>
                <w:rFonts w:ascii="宋体" w:hAnsi="宋体" w:cs="宋体"/>
                <w:color w:val="000000"/>
                <w:sz w:val="20"/>
                <w:szCs w:val="20"/>
              </w:rPr>
            </w:pPr>
          </w:p>
        </w:tc>
        <w:tc>
          <w:tcPr>
            <w:tcW w:w="4671" w:type="dxa"/>
            <w:gridSpan w:val="5"/>
            <w:tcBorders>
              <w:top w:val="single" w:sz="4" w:space="0" w:color="auto"/>
              <w:left w:val="nil"/>
              <w:bottom w:val="single" w:sz="4" w:space="0" w:color="auto"/>
              <w:right w:val="single" w:sz="4" w:space="0" w:color="auto"/>
            </w:tcBorders>
            <w:shd w:val="clear" w:color="auto" w:fill="auto"/>
            <w:vAlign w:val="center"/>
          </w:tcPr>
          <w:p w:rsidR="00F43A36" w:rsidRDefault="00061A8A">
            <w:pPr>
              <w:rPr>
                <w:rFonts w:ascii="宋体" w:hAnsi="宋体" w:cs="宋体"/>
                <w:color w:val="000000"/>
                <w:sz w:val="20"/>
                <w:szCs w:val="20"/>
              </w:rPr>
            </w:pPr>
            <w:r>
              <w:rPr>
                <w:rFonts w:ascii="宋体" w:hAnsi="宋体" w:cs="宋体" w:hint="eastAsia"/>
                <w:color w:val="000000"/>
                <w:sz w:val="20"/>
                <w:szCs w:val="20"/>
              </w:rPr>
              <w:t>（</w:t>
            </w:r>
            <w:r>
              <w:rPr>
                <w:color w:val="000000"/>
                <w:sz w:val="20"/>
                <w:szCs w:val="20"/>
              </w:rPr>
              <w:t xml:space="preserve"> </w:t>
            </w:r>
            <w:r>
              <w:rPr>
                <w:rFonts w:ascii="宋体" w:hAnsi="宋体" w:cs="宋体" w:hint="eastAsia"/>
                <w:color w:val="000000"/>
                <w:sz w:val="20"/>
                <w:szCs w:val="20"/>
              </w:rPr>
              <w:t>）新增</w:t>
            </w:r>
          </w:p>
        </w:tc>
      </w:tr>
      <w:tr w:rsidR="00F43A36">
        <w:trPr>
          <w:trHeight w:val="684"/>
        </w:trPr>
        <w:tc>
          <w:tcPr>
            <w:tcW w:w="4349"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F43A36" w:rsidRDefault="00F43A36">
            <w:pPr>
              <w:rPr>
                <w:rFonts w:ascii="宋体" w:hAnsi="宋体" w:cs="宋体"/>
                <w:color w:val="000000"/>
                <w:sz w:val="20"/>
                <w:szCs w:val="20"/>
              </w:rPr>
            </w:pPr>
          </w:p>
        </w:tc>
        <w:tc>
          <w:tcPr>
            <w:tcW w:w="4671" w:type="dxa"/>
            <w:gridSpan w:val="5"/>
            <w:tcBorders>
              <w:top w:val="single" w:sz="4" w:space="0" w:color="auto"/>
              <w:left w:val="nil"/>
              <w:bottom w:val="single" w:sz="4" w:space="0" w:color="auto"/>
              <w:right w:val="single" w:sz="4" w:space="0" w:color="auto"/>
            </w:tcBorders>
            <w:shd w:val="clear" w:color="auto" w:fill="auto"/>
            <w:vAlign w:val="center"/>
          </w:tcPr>
          <w:p w:rsidR="00F43A36" w:rsidRDefault="00061A8A">
            <w:pPr>
              <w:rPr>
                <w:rFonts w:ascii="宋体" w:hAnsi="宋体" w:cs="宋体"/>
                <w:color w:val="000000"/>
                <w:sz w:val="20"/>
                <w:szCs w:val="20"/>
              </w:rPr>
            </w:pPr>
            <w:r>
              <w:rPr>
                <w:rFonts w:ascii="宋体" w:hAnsi="宋体" w:cs="宋体" w:hint="eastAsia"/>
                <w:color w:val="000000"/>
                <w:sz w:val="20"/>
                <w:szCs w:val="20"/>
              </w:rPr>
              <w:t>（</w:t>
            </w:r>
            <w:r>
              <w:rPr>
                <w:color w:val="000000"/>
                <w:sz w:val="20"/>
                <w:szCs w:val="20"/>
              </w:rPr>
              <w:t xml:space="preserve"> </w:t>
            </w:r>
            <w:r>
              <w:rPr>
                <w:rFonts w:ascii="宋体" w:hAnsi="宋体" w:cs="宋体" w:hint="eastAsia"/>
                <w:color w:val="000000"/>
                <w:sz w:val="20"/>
                <w:szCs w:val="20"/>
              </w:rPr>
              <w:t>）退出</w:t>
            </w:r>
          </w:p>
        </w:tc>
      </w:tr>
      <w:tr w:rsidR="00F43A36">
        <w:trPr>
          <w:trHeight w:val="619"/>
        </w:trPr>
        <w:tc>
          <w:tcPr>
            <w:tcW w:w="914" w:type="dxa"/>
            <w:vMerge w:val="restart"/>
            <w:tcBorders>
              <w:top w:val="nil"/>
              <w:left w:val="single" w:sz="4" w:space="0" w:color="auto"/>
              <w:bottom w:val="single" w:sz="4" w:space="0" w:color="000000"/>
              <w:right w:val="single" w:sz="4" w:space="0" w:color="auto"/>
            </w:tcBorders>
            <w:shd w:val="clear" w:color="auto" w:fill="auto"/>
            <w:vAlign w:val="center"/>
          </w:tcPr>
          <w:p w:rsidR="00F43A36" w:rsidRDefault="00061A8A">
            <w:pPr>
              <w:jc w:val="center"/>
              <w:rPr>
                <w:rFonts w:ascii="宋体" w:hAnsi="宋体" w:cs="宋体"/>
                <w:color w:val="000000"/>
                <w:sz w:val="20"/>
                <w:szCs w:val="20"/>
              </w:rPr>
            </w:pPr>
            <w:r>
              <w:rPr>
                <w:rFonts w:ascii="宋体" w:hAnsi="宋体" w:cs="宋体" w:hint="eastAsia"/>
                <w:color w:val="000000"/>
                <w:sz w:val="20"/>
                <w:szCs w:val="20"/>
              </w:rPr>
              <w:t>关联自然人情况</w:t>
            </w:r>
          </w:p>
        </w:tc>
        <w:tc>
          <w:tcPr>
            <w:tcW w:w="1303" w:type="dxa"/>
            <w:tcBorders>
              <w:top w:val="nil"/>
              <w:left w:val="nil"/>
              <w:bottom w:val="single" w:sz="4" w:space="0" w:color="auto"/>
              <w:right w:val="single" w:sz="4" w:space="0" w:color="auto"/>
            </w:tcBorders>
            <w:shd w:val="clear" w:color="auto" w:fill="auto"/>
            <w:vAlign w:val="center"/>
          </w:tcPr>
          <w:p w:rsidR="00F43A36" w:rsidRDefault="00061A8A">
            <w:pPr>
              <w:jc w:val="center"/>
              <w:rPr>
                <w:rFonts w:ascii="宋体" w:hAnsi="宋体" w:cs="宋体"/>
                <w:color w:val="000000"/>
                <w:sz w:val="20"/>
                <w:szCs w:val="20"/>
              </w:rPr>
            </w:pPr>
            <w:r>
              <w:rPr>
                <w:rFonts w:ascii="宋体" w:hAnsi="宋体" w:cs="宋体" w:hint="eastAsia"/>
                <w:color w:val="000000"/>
                <w:sz w:val="20"/>
                <w:szCs w:val="20"/>
              </w:rPr>
              <w:t>姓名</w:t>
            </w:r>
          </w:p>
        </w:tc>
        <w:tc>
          <w:tcPr>
            <w:tcW w:w="1591" w:type="dxa"/>
            <w:tcBorders>
              <w:top w:val="nil"/>
              <w:left w:val="nil"/>
              <w:bottom w:val="single" w:sz="4" w:space="0" w:color="auto"/>
              <w:right w:val="single" w:sz="4" w:space="0" w:color="auto"/>
            </w:tcBorders>
            <w:shd w:val="clear" w:color="auto" w:fill="auto"/>
            <w:vAlign w:val="center"/>
          </w:tcPr>
          <w:p w:rsidR="00F43A36" w:rsidRDefault="00061A8A">
            <w:pPr>
              <w:jc w:val="center"/>
              <w:rPr>
                <w:rFonts w:ascii="宋体" w:hAnsi="宋体" w:cs="宋体"/>
                <w:color w:val="000000"/>
                <w:sz w:val="20"/>
                <w:szCs w:val="20"/>
              </w:rPr>
            </w:pPr>
            <w:r>
              <w:rPr>
                <w:rFonts w:ascii="宋体" w:hAnsi="宋体" w:cs="宋体" w:hint="eastAsia"/>
                <w:color w:val="000000"/>
                <w:sz w:val="20"/>
                <w:szCs w:val="20"/>
              </w:rPr>
              <w:t>工作单位</w:t>
            </w:r>
          </w:p>
        </w:tc>
        <w:tc>
          <w:tcPr>
            <w:tcW w:w="1083" w:type="dxa"/>
            <w:gridSpan w:val="2"/>
            <w:tcBorders>
              <w:top w:val="single" w:sz="4" w:space="0" w:color="auto"/>
              <w:left w:val="nil"/>
              <w:bottom w:val="single" w:sz="4" w:space="0" w:color="auto"/>
              <w:right w:val="single" w:sz="4" w:space="0" w:color="auto"/>
            </w:tcBorders>
            <w:shd w:val="clear" w:color="auto" w:fill="auto"/>
            <w:vAlign w:val="center"/>
          </w:tcPr>
          <w:p w:rsidR="00F43A36" w:rsidRDefault="00061A8A">
            <w:pPr>
              <w:jc w:val="center"/>
              <w:rPr>
                <w:rFonts w:ascii="宋体" w:hAnsi="宋体" w:cs="宋体"/>
                <w:color w:val="000000"/>
                <w:sz w:val="20"/>
                <w:szCs w:val="20"/>
              </w:rPr>
            </w:pPr>
            <w:r>
              <w:rPr>
                <w:rFonts w:ascii="宋体" w:hAnsi="宋体" w:cs="宋体" w:hint="eastAsia"/>
                <w:color w:val="000000"/>
                <w:sz w:val="20"/>
                <w:szCs w:val="20"/>
              </w:rPr>
              <w:t>职务</w:t>
            </w:r>
          </w:p>
        </w:tc>
        <w:tc>
          <w:tcPr>
            <w:tcW w:w="2741" w:type="dxa"/>
            <w:gridSpan w:val="3"/>
            <w:tcBorders>
              <w:top w:val="single" w:sz="4" w:space="0" w:color="auto"/>
              <w:left w:val="nil"/>
              <w:bottom w:val="single" w:sz="4" w:space="0" w:color="auto"/>
              <w:right w:val="single" w:sz="4" w:space="0" w:color="auto"/>
            </w:tcBorders>
            <w:shd w:val="clear" w:color="auto" w:fill="auto"/>
            <w:vAlign w:val="center"/>
          </w:tcPr>
          <w:p w:rsidR="00F43A36" w:rsidRDefault="00061A8A">
            <w:pPr>
              <w:jc w:val="center"/>
              <w:rPr>
                <w:rFonts w:ascii="宋体" w:hAnsi="宋体" w:cs="宋体"/>
                <w:color w:val="000000"/>
                <w:sz w:val="20"/>
                <w:szCs w:val="20"/>
              </w:rPr>
            </w:pPr>
            <w:r>
              <w:rPr>
                <w:rFonts w:ascii="宋体" w:hAnsi="宋体" w:cs="宋体" w:hint="eastAsia"/>
                <w:color w:val="000000"/>
                <w:sz w:val="20"/>
                <w:szCs w:val="20"/>
              </w:rPr>
              <w:t>身份证号</w:t>
            </w:r>
            <w:r>
              <w:rPr>
                <w:color w:val="000000"/>
                <w:sz w:val="20"/>
                <w:szCs w:val="20"/>
              </w:rPr>
              <w:t>/</w:t>
            </w:r>
            <w:r>
              <w:rPr>
                <w:rFonts w:ascii="宋体" w:hAnsi="宋体" w:cs="宋体" w:hint="eastAsia"/>
                <w:color w:val="000000"/>
                <w:sz w:val="20"/>
                <w:szCs w:val="20"/>
              </w:rPr>
              <w:t>护照号码</w:t>
            </w:r>
          </w:p>
        </w:tc>
        <w:tc>
          <w:tcPr>
            <w:tcW w:w="1388" w:type="dxa"/>
            <w:tcBorders>
              <w:top w:val="nil"/>
              <w:left w:val="nil"/>
              <w:bottom w:val="single" w:sz="4" w:space="0" w:color="auto"/>
              <w:right w:val="single" w:sz="4" w:space="0" w:color="auto"/>
            </w:tcBorders>
            <w:shd w:val="clear" w:color="auto" w:fill="auto"/>
            <w:vAlign w:val="center"/>
          </w:tcPr>
          <w:p w:rsidR="00F43A36" w:rsidRDefault="00061A8A">
            <w:pPr>
              <w:jc w:val="center"/>
              <w:rPr>
                <w:rFonts w:ascii="宋体" w:hAnsi="宋体" w:cs="宋体"/>
                <w:color w:val="000000"/>
                <w:sz w:val="20"/>
                <w:szCs w:val="20"/>
              </w:rPr>
            </w:pPr>
            <w:r>
              <w:rPr>
                <w:rFonts w:ascii="宋体" w:hAnsi="宋体" w:cs="宋体" w:hint="eastAsia"/>
                <w:color w:val="000000"/>
                <w:sz w:val="20"/>
                <w:szCs w:val="20"/>
              </w:rPr>
              <w:t>与本行关联关系或退出原因</w:t>
            </w:r>
          </w:p>
        </w:tc>
      </w:tr>
      <w:tr w:rsidR="00F43A36">
        <w:trPr>
          <w:trHeight w:val="464"/>
        </w:trPr>
        <w:tc>
          <w:tcPr>
            <w:tcW w:w="914" w:type="dxa"/>
            <w:vMerge/>
            <w:tcBorders>
              <w:top w:val="nil"/>
              <w:left w:val="single" w:sz="4" w:space="0" w:color="auto"/>
              <w:bottom w:val="single" w:sz="4" w:space="0" w:color="000000"/>
              <w:right w:val="single" w:sz="4" w:space="0" w:color="auto"/>
            </w:tcBorders>
            <w:shd w:val="clear" w:color="auto" w:fill="auto"/>
            <w:vAlign w:val="center"/>
          </w:tcPr>
          <w:p w:rsidR="00F43A36" w:rsidRDefault="00F43A36">
            <w:pPr>
              <w:rPr>
                <w:rFonts w:ascii="宋体" w:hAnsi="宋体" w:cs="宋体"/>
                <w:color w:val="000000"/>
                <w:sz w:val="20"/>
                <w:szCs w:val="20"/>
              </w:rPr>
            </w:pPr>
          </w:p>
        </w:tc>
        <w:tc>
          <w:tcPr>
            <w:tcW w:w="1303" w:type="dxa"/>
            <w:tcBorders>
              <w:top w:val="nil"/>
              <w:left w:val="nil"/>
              <w:bottom w:val="single" w:sz="4" w:space="0" w:color="auto"/>
              <w:right w:val="single" w:sz="4" w:space="0" w:color="auto"/>
            </w:tcBorders>
            <w:shd w:val="clear" w:color="auto" w:fill="auto"/>
          </w:tcPr>
          <w:p w:rsidR="00F43A36" w:rsidRDefault="00061A8A">
            <w:pPr>
              <w:rPr>
                <w:color w:val="000000"/>
              </w:rPr>
            </w:pPr>
            <w:r>
              <w:rPr>
                <w:color w:val="000000"/>
              </w:rPr>
              <w:t xml:space="preserve">　</w:t>
            </w:r>
          </w:p>
        </w:tc>
        <w:tc>
          <w:tcPr>
            <w:tcW w:w="1591" w:type="dxa"/>
            <w:tcBorders>
              <w:top w:val="nil"/>
              <w:left w:val="nil"/>
              <w:bottom w:val="single" w:sz="4" w:space="0" w:color="auto"/>
              <w:right w:val="single" w:sz="4" w:space="0" w:color="auto"/>
            </w:tcBorders>
            <w:shd w:val="clear" w:color="auto" w:fill="auto"/>
          </w:tcPr>
          <w:p w:rsidR="00F43A36" w:rsidRDefault="00061A8A">
            <w:pPr>
              <w:rPr>
                <w:color w:val="000000"/>
              </w:rPr>
            </w:pPr>
            <w:r>
              <w:rPr>
                <w:color w:val="000000"/>
              </w:rPr>
              <w:t xml:space="preserve">　</w:t>
            </w:r>
          </w:p>
        </w:tc>
        <w:tc>
          <w:tcPr>
            <w:tcW w:w="1083" w:type="dxa"/>
            <w:gridSpan w:val="2"/>
            <w:tcBorders>
              <w:top w:val="single" w:sz="4" w:space="0" w:color="auto"/>
              <w:left w:val="nil"/>
              <w:bottom w:val="single" w:sz="4" w:space="0" w:color="auto"/>
              <w:right w:val="single" w:sz="4" w:space="0" w:color="auto"/>
            </w:tcBorders>
            <w:shd w:val="clear" w:color="auto" w:fill="auto"/>
          </w:tcPr>
          <w:p w:rsidR="00F43A36" w:rsidRDefault="00061A8A">
            <w:pPr>
              <w:rPr>
                <w:color w:val="000000"/>
              </w:rPr>
            </w:pPr>
            <w:r>
              <w:rPr>
                <w:color w:val="000000"/>
              </w:rPr>
              <w:t xml:space="preserve">　</w:t>
            </w:r>
          </w:p>
        </w:tc>
        <w:tc>
          <w:tcPr>
            <w:tcW w:w="2741" w:type="dxa"/>
            <w:gridSpan w:val="3"/>
            <w:tcBorders>
              <w:top w:val="single" w:sz="4" w:space="0" w:color="auto"/>
              <w:left w:val="nil"/>
              <w:bottom w:val="single" w:sz="4" w:space="0" w:color="auto"/>
              <w:right w:val="single" w:sz="4" w:space="0" w:color="auto"/>
            </w:tcBorders>
            <w:shd w:val="clear" w:color="auto" w:fill="auto"/>
          </w:tcPr>
          <w:p w:rsidR="00F43A36" w:rsidRDefault="00061A8A">
            <w:pPr>
              <w:jc w:val="center"/>
              <w:rPr>
                <w:color w:val="000000"/>
                <w:sz w:val="20"/>
                <w:szCs w:val="20"/>
              </w:rPr>
            </w:pPr>
            <w:r>
              <w:rPr>
                <w:color w:val="000000"/>
                <w:sz w:val="20"/>
                <w:szCs w:val="20"/>
              </w:rPr>
              <w:t xml:space="preserve">　</w:t>
            </w:r>
          </w:p>
        </w:tc>
        <w:tc>
          <w:tcPr>
            <w:tcW w:w="1388" w:type="dxa"/>
            <w:tcBorders>
              <w:top w:val="nil"/>
              <w:left w:val="nil"/>
              <w:bottom w:val="single" w:sz="4" w:space="0" w:color="auto"/>
              <w:right w:val="single" w:sz="4" w:space="0" w:color="auto"/>
            </w:tcBorders>
            <w:shd w:val="clear" w:color="auto" w:fill="auto"/>
          </w:tcPr>
          <w:p w:rsidR="00F43A36" w:rsidRDefault="00061A8A">
            <w:pPr>
              <w:rPr>
                <w:color w:val="000000"/>
              </w:rPr>
            </w:pPr>
            <w:r>
              <w:rPr>
                <w:color w:val="000000"/>
              </w:rPr>
              <w:t xml:space="preserve">　</w:t>
            </w:r>
          </w:p>
        </w:tc>
      </w:tr>
      <w:tr w:rsidR="00F43A36">
        <w:trPr>
          <w:trHeight w:val="464"/>
        </w:trPr>
        <w:tc>
          <w:tcPr>
            <w:tcW w:w="914" w:type="dxa"/>
            <w:vMerge/>
            <w:tcBorders>
              <w:top w:val="nil"/>
              <w:left w:val="single" w:sz="4" w:space="0" w:color="auto"/>
              <w:bottom w:val="single" w:sz="4" w:space="0" w:color="000000"/>
              <w:right w:val="single" w:sz="4" w:space="0" w:color="auto"/>
            </w:tcBorders>
            <w:shd w:val="clear" w:color="auto" w:fill="auto"/>
            <w:vAlign w:val="center"/>
          </w:tcPr>
          <w:p w:rsidR="00F43A36" w:rsidRDefault="00F43A36">
            <w:pPr>
              <w:rPr>
                <w:rFonts w:ascii="宋体" w:hAnsi="宋体" w:cs="宋体"/>
                <w:color w:val="000000"/>
                <w:sz w:val="20"/>
                <w:szCs w:val="20"/>
              </w:rPr>
            </w:pPr>
          </w:p>
        </w:tc>
        <w:tc>
          <w:tcPr>
            <w:tcW w:w="1303" w:type="dxa"/>
            <w:tcBorders>
              <w:top w:val="nil"/>
              <w:left w:val="nil"/>
              <w:bottom w:val="single" w:sz="4" w:space="0" w:color="auto"/>
              <w:right w:val="single" w:sz="4" w:space="0" w:color="auto"/>
            </w:tcBorders>
            <w:shd w:val="clear" w:color="auto" w:fill="auto"/>
          </w:tcPr>
          <w:p w:rsidR="00F43A36" w:rsidRDefault="00061A8A">
            <w:pPr>
              <w:rPr>
                <w:color w:val="000000"/>
              </w:rPr>
            </w:pPr>
            <w:r>
              <w:rPr>
                <w:color w:val="000000"/>
              </w:rPr>
              <w:t xml:space="preserve">　</w:t>
            </w:r>
          </w:p>
        </w:tc>
        <w:tc>
          <w:tcPr>
            <w:tcW w:w="1591" w:type="dxa"/>
            <w:tcBorders>
              <w:top w:val="nil"/>
              <w:left w:val="nil"/>
              <w:bottom w:val="single" w:sz="4" w:space="0" w:color="auto"/>
              <w:right w:val="single" w:sz="4" w:space="0" w:color="auto"/>
            </w:tcBorders>
            <w:shd w:val="clear" w:color="auto" w:fill="auto"/>
          </w:tcPr>
          <w:p w:rsidR="00F43A36" w:rsidRDefault="00061A8A">
            <w:pPr>
              <w:rPr>
                <w:color w:val="000000"/>
              </w:rPr>
            </w:pPr>
            <w:r>
              <w:rPr>
                <w:color w:val="000000"/>
              </w:rPr>
              <w:t xml:space="preserve">　</w:t>
            </w:r>
          </w:p>
        </w:tc>
        <w:tc>
          <w:tcPr>
            <w:tcW w:w="1083" w:type="dxa"/>
            <w:gridSpan w:val="2"/>
            <w:tcBorders>
              <w:top w:val="single" w:sz="4" w:space="0" w:color="auto"/>
              <w:left w:val="nil"/>
              <w:bottom w:val="single" w:sz="4" w:space="0" w:color="auto"/>
              <w:right w:val="single" w:sz="4" w:space="0" w:color="auto"/>
            </w:tcBorders>
            <w:shd w:val="clear" w:color="auto" w:fill="auto"/>
          </w:tcPr>
          <w:p w:rsidR="00F43A36" w:rsidRDefault="00061A8A">
            <w:pPr>
              <w:rPr>
                <w:color w:val="000000"/>
              </w:rPr>
            </w:pPr>
            <w:r>
              <w:rPr>
                <w:color w:val="000000"/>
              </w:rPr>
              <w:t xml:space="preserve">　</w:t>
            </w:r>
          </w:p>
        </w:tc>
        <w:tc>
          <w:tcPr>
            <w:tcW w:w="2741" w:type="dxa"/>
            <w:gridSpan w:val="3"/>
            <w:tcBorders>
              <w:top w:val="single" w:sz="4" w:space="0" w:color="auto"/>
              <w:left w:val="nil"/>
              <w:bottom w:val="single" w:sz="4" w:space="0" w:color="auto"/>
              <w:right w:val="single" w:sz="4" w:space="0" w:color="auto"/>
            </w:tcBorders>
            <w:shd w:val="clear" w:color="auto" w:fill="auto"/>
          </w:tcPr>
          <w:p w:rsidR="00F43A36" w:rsidRDefault="00061A8A">
            <w:pPr>
              <w:rPr>
                <w:color w:val="000000"/>
              </w:rPr>
            </w:pPr>
            <w:r>
              <w:rPr>
                <w:color w:val="000000"/>
              </w:rPr>
              <w:t xml:space="preserve">　</w:t>
            </w:r>
          </w:p>
        </w:tc>
        <w:tc>
          <w:tcPr>
            <w:tcW w:w="1388" w:type="dxa"/>
            <w:tcBorders>
              <w:top w:val="nil"/>
              <w:left w:val="nil"/>
              <w:bottom w:val="single" w:sz="4" w:space="0" w:color="auto"/>
              <w:right w:val="single" w:sz="4" w:space="0" w:color="auto"/>
            </w:tcBorders>
            <w:shd w:val="clear" w:color="auto" w:fill="auto"/>
          </w:tcPr>
          <w:p w:rsidR="00F43A36" w:rsidRDefault="00061A8A">
            <w:pPr>
              <w:rPr>
                <w:color w:val="000000"/>
              </w:rPr>
            </w:pPr>
            <w:r>
              <w:rPr>
                <w:color w:val="000000"/>
              </w:rPr>
              <w:t xml:space="preserve">　</w:t>
            </w:r>
          </w:p>
        </w:tc>
      </w:tr>
      <w:tr w:rsidR="00F43A36">
        <w:trPr>
          <w:trHeight w:val="464"/>
        </w:trPr>
        <w:tc>
          <w:tcPr>
            <w:tcW w:w="914" w:type="dxa"/>
            <w:vMerge/>
            <w:tcBorders>
              <w:top w:val="nil"/>
              <w:left w:val="single" w:sz="4" w:space="0" w:color="auto"/>
              <w:bottom w:val="single" w:sz="4" w:space="0" w:color="000000"/>
              <w:right w:val="single" w:sz="4" w:space="0" w:color="auto"/>
            </w:tcBorders>
            <w:shd w:val="clear" w:color="auto" w:fill="auto"/>
            <w:vAlign w:val="center"/>
          </w:tcPr>
          <w:p w:rsidR="00F43A36" w:rsidRDefault="00F43A36">
            <w:pPr>
              <w:rPr>
                <w:rFonts w:ascii="宋体" w:hAnsi="宋体" w:cs="宋体"/>
                <w:color w:val="000000"/>
                <w:sz w:val="20"/>
                <w:szCs w:val="20"/>
              </w:rPr>
            </w:pPr>
          </w:p>
        </w:tc>
        <w:tc>
          <w:tcPr>
            <w:tcW w:w="1303" w:type="dxa"/>
            <w:tcBorders>
              <w:top w:val="nil"/>
              <w:left w:val="nil"/>
              <w:bottom w:val="single" w:sz="4" w:space="0" w:color="auto"/>
              <w:right w:val="single" w:sz="4" w:space="0" w:color="auto"/>
            </w:tcBorders>
            <w:shd w:val="clear" w:color="auto" w:fill="auto"/>
          </w:tcPr>
          <w:p w:rsidR="00F43A36" w:rsidRDefault="00061A8A">
            <w:pPr>
              <w:rPr>
                <w:color w:val="000000"/>
              </w:rPr>
            </w:pPr>
            <w:r>
              <w:rPr>
                <w:color w:val="000000"/>
              </w:rPr>
              <w:t xml:space="preserve">　</w:t>
            </w:r>
          </w:p>
        </w:tc>
        <w:tc>
          <w:tcPr>
            <w:tcW w:w="1591" w:type="dxa"/>
            <w:tcBorders>
              <w:top w:val="nil"/>
              <w:left w:val="nil"/>
              <w:bottom w:val="single" w:sz="4" w:space="0" w:color="auto"/>
              <w:right w:val="single" w:sz="4" w:space="0" w:color="auto"/>
            </w:tcBorders>
            <w:shd w:val="clear" w:color="auto" w:fill="auto"/>
          </w:tcPr>
          <w:p w:rsidR="00F43A36" w:rsidRDefault="00061A8A">
            <w:pPr>
              <w:rPr>
                <w:color w:val="000000"/>
              </w:rPr>
            </w:pPr>
            <w:r>
              <w:rPr>
                <w:color w:val="000000"/>
              </w:rPr>
              <w:t xml:space="preserve">　</w:t>
            </w:r>
          </w:p>
        </w:tc>
        <w:tc>
          <w:tcPr>
            <w:tcW w:w="1083" w:type="dxa"/>
            <w:gridSpan w:val="2"/>
            <w:tcBorders>
              <w:top w:val="single" w:sz="4" w:space="0" w:color="auto"/>
              <w:left w:val="nil"/>
              <w:bottom w:val="single" w:sz="4" w:space="0" w:color="auto"/>
              <w:right w:val="single" w:sz="4" w:space="0" w:color="auto"/>
            </w:tcBorders>
            <w:shd w:val="clear" w:color="auto" w:fill="auto"/>
          </w:tcPr>
          <w:p w:rsidR="00F43A36" w:rsidRDefault="00061A8A">
            <w:pPr>
              <w:rPr>
                <w:color w:val="000000"/>
              </w:rPr>
            </w:pPr>
            <w:r>
              <w:rPr>
                <w:color w:val="000000"/>
              </w:rPr>
              <w:t xml:space="preserve">　</w:t>
            </w:r>
          </w:p>
        </w:tc>
        <w:tc>
          <w:tcPr>
            <w:tcW w:w="2741" w:type="dxa"/>
            <w:gridSpan w:val="3"/>
            <w:tcBorders>
              <w:top w:val="single" w:sz="4" w:space="0" w:color="auto"/>
              <w:left w:val="nil"/>
              <w:bottom w:val="single" w:sz="4" w:space="0" w:color="auto"/>
              <w:right w:val="single" w:sz="4" w:space="0" w:color="auto"/>
            </w:tcBorders>
            <w:shd w:val="clear" w:color="auto" w:fill="auto"/>
          </w:tcPr>
          <w:p w:rsidR="00F43A36" w:rsidRDefault="00061A8A">
            <w:pPr>
              <w:rPr>
                <w:color w:val="000000"/>
              </w:rPr>
            </w:pPr>
            <w:r>
              <w:rPr>
                <w:color w:val="000000"/>
              </w:rPr>
              <w:t xml:space="preserve">　</w:t>
            </w:r>
          </w:p>
        </w:tc>
        <w:tc>
          <w:tcPr>
            <w:tcW w:w="1388" w:type="dxa"/>
            <w:tcBorders>
              <w:top w:val="nil"/>
              <w:left w:val="nil"/>
              <w:bottom w:val="single" w:sz="4" w:space="0" w:color="auto"/>
              <w:right w:val="single" w:sz="4" w:space="0" w:color="auto"/>
            </w:tcBorders>
            <w:shd w:val="clear" w:color="auto" w:fill="auto"/>
          </w:tcPr>
          <w:p w:rsidR="00F43A36" w:rsidRDefault="00061A8A">
            <w:pPr>
              <w:rPr>
                <w:color w:val="000000"/>
              </w:rPr>
            </w:pPr>
            <w:r>
              <w:rPr>
                <w:color w:val="000000"/>
              </w:rPr>
              <w:t xml:space="preserve">　</w:t>
            </w:r>
          </w:p>
        </w:tc>
      </w:tr>
      <w:tr w:rsidR="00F43A36">
        <w:trPr>
          <w:trHeight w:val="464"/>
        </w:trPr>
        <w:tc>
          <w:tcPr>
            <w:tcW w:w="914" w:type="dxa"/>
            <w:vMerge/>
            <w:tcBorders>
              <w:top w:val="nil"/>
              <w:left w:val="single" w:sz="4" w:space="0" w:color="auto"/>
              <w:bottom w:val="single" w:sz="4" w:space="0" w:color="000000"/>
              <w:right w:val="single" w:sz="4" w:space="0" w:color="auto"/>
            </w:tcBorders>
            <w:shd w:val="clear" w:color="auto" w:fill="auto"/>
            <w:vAlign w:val="center"/>
          </w:tcPr>
          <w:p w:rsidR="00F43A36" w:rsidRDefault="00F43A36">
            <w:pPr>
              <w:rPr>
                <w:rFonts w:ascii="宋体" w:hAnsi="宋体" w:cs="宋体"/>
                <w:color w:val="000000"/>
                <w:sz w:val="20"/>
                <w:szCs w:val="20"/>
              </w:rPr>
            </w:pPr>
          </w:p>
        </w:tc>
        <w:tc>
          <w:tcPr>
            <w:tcW w:w="1303" w:type="dxa"/>
            <w:tcBorders>
              <w:top w:val="nil"/>
              <w:left w:val="nil"/>
              <w:bottom w:val="single" w:sz="4" w:space="0" w:color="auto"/>
              <w:right w:val="single" w:sz="4" w:space="0" w:color="auto"/>
            </w:tcBorders>
            <w:shd w:val="clear" w:color="auto" w:fill="auto"/>
          </w:tcPr>
          <w:p w:rsidR="00F43A36" w:rsidRDefault="00061A8A">
            <w:pPr>
              <w:rPr>
                <w:color w:val="000000"/>
              </w:rPr>
            </w:pPr>
            <w:r>
              <w:rPr>
                <w:color w:val="000000"/>
              </w:rPr>
              <w:t xml:space="preserve">　</w:t>
            </w:r>
          </w:p>
        </w:tc>
        <w:tc>
          <w:tcPr>
            <w:tcW w:w="1591" w:type="dxa"/>
            <w:tcBorders>
              <w:top w:val="nil"/>
              <w:left w:val="nil"/>
              <w:bottom w:val="single" w:sz="4" w:space="0" w:color="auto"/>
              <w:right w:val="single" w:sz="4" w:space="0" w:color="auto"/>
            </w:tcBorders>
            <w:shd w:val="clear" w:color="auto" w:fill="auto"/>
          </w:tcPr>
          <w:p w:rsidR="00F43A36" w:rsidRDefault="00061A8A">
            <w:pPr>
              <w:rPr>
                <w:color w:val="000000"/>
              </w:rPr>
            </w:pPr>
            <w:r>
              <w:rPr>
                <w:color w:val="000000"/>
              </w:rPr>
              <w:t xml:space="preserve">　</w:t>
            </w:r>
          </w:p>
        </w:tc>
        <w:tc>
          <w:tcPr>
            <w:tcW w:w="1083" w:type="dxa"/>
            <w:gridSpan w:val="2"/>
            <w:tcBorders>
              <w:top w:val="single" w:sz="4" w:space="0" w:color="auto"/>
              <w:left w:val="nil"/>
              <w:bottom w:val="single" w:sz="4" w:space="0" w:color="auto"/>
              <w:right w:val="single" w:sz="4" w:space="0" w:color="auto"/>
            </w:tcBorders>
            <w:shd w:val="clear" w:color="auto" w:fill="auto"/>
          </w:tcPr>
          <w:p w:rsidR="00F43A36" w:rsidRDefault="00061A8A">
            <w:pPr>
              <w:rPr>
                <w:color w:val="000000"/>
              </w:rPr>
            </w:pPr>
            <w:r>
              <w:rPr>
                <w:color w:val="000000"/>
              </w:rPr>
              <w:t xml:space="preserve">　</w:t>
            </w:r>
          </w:p>
        </w:tc>
        <w:tc>
          <w:tcPr>
            <w:tcW w:w="2741" w:type="dxa"/>
            <w:gridSpan w:val="3"/>
            <w:tcBorders>
              <w:top w:val="single" w:sz="4" w:space="0" w:color="auto"/>
              <w:left w:val="nil"/>
              <w:bottom w:val="single" w:sz="4" w:space="0" w:color="auto"/>
              <w:right w:val="single" w:sz="4" w:space="0" w:color="auto"/>
            </w:tcBorders>
            <w:shd w:val="clear" w:color="auto" w:fill="auto"/>
          </w:tcPr>
          <w:p w:rsidR="00F43A36" w:rsidRDefault="00061A8A">
            <w:pPr>
              <w:rPr>
                <w:color w:val="000000"/>
              </w:rPr>
            </w:pPr>
            <w:r>
              <w:rPr>
                <w:color w:val="000000"/>
              </w:rPr>
              <w:t xml:space="preserve">　</w:t>
            </w:r>
          </w:p>
        </w:tc>
        <w:tc>
          <w:tcPr>
            <w:tcW w:w="1388" w:type="dxa"/>
            <w:tcBorders>
              <w:top w:val="nil"/>
              <w:left w:val="nil"/>
              <w:bottom w:val="single" w:sz="4" w:space="0" w:color="auto"/>
              <w:right w:val="single" w:sz="4" w:space="0" w:color="auto"/>
            </w:tcBorders>
            <w:shd w:val="clear" w:color="auto" w:fill="auto"/>
          </w:tcPr>
          <w:p w:rsidR="00F43A36" w:rsidRDefault="00061A8A">
            <w:pPr>
              <w:rPr>
                <w:color w:val="000000"/>
              </w:rPr>
            </w:pPr>
            <w:r>
              <w:rPr>
                <w:color w:val="000000"/>
              </w:rPr>
              <w:t xml:space="preserve">　</w:t>
            </w:r>
          </w:p>
        </w:tc>
      </w:tr>
      <w:tr w:rsidR="00F43A36">
        <w:trPr>
          <w:trHeight w:val="464"/>
        </w:trPr>
        <w:tc>
          <w:tcPr>
            <w:tcW w:w="914" w:type="dxa"/>
            <w:vMerge/>
            <w:tcBorders>
              <w:top w:val="nil"/>
              <w:left w:val="single" w:sz="4" w:space="0" w:color="auto"/>
              <w:bottom w:val="single" w:sz="4" w:space="0" w:color="000000"/>
              <w:right w:val="single" w:sz="4" w:space="0" w:color="auto"/>
            </w:tcBorders>
            <w:shd w:val="clear" w:color="auto" w:fill="auto"/>
            <w:vAlign w:val="center"/>
          </w:tcPr>
          <w:p w:rsidR="00F43A36" w:rsidRDefault="00F43A36">
            <w:pPr>
              <w:rPr>
                <w:rFonts w:ascii="宋体" w:hAnsi="宋体" w:cs="宋体"/>
                <w:color w:val="000000"/>
                <w:sz w:val="20"/>
                <w:szCs w:val="20"/>
              </w:rPr>
            </w:pPr>
          </w:p>
        </w:tc>
        <w:tc>
          <w:tcPr>
            <w:tcW w:w="1303" w:type="dxa"/>
            <w:tcBorders>
              <w:top w:val="nil"/>
              <w:left w:val="nil"/>
              <w:bottom w:val="single" w:sz="4" w:space="0" w:color="auto"/>
              <w:right w:val="single" w:sz="4" w:space="0" w:color="auto"/>
            </w:tcBorders>
            <w:shd w:val="clear" w:color="auto" w:fill="auto"/>
          </w:tcPr>
          <w:p w:rsidR="00F43A36" w:rsidRDefault="00061A8A">
            <w:pPr>
              <w:rPr>
                <w:color w:val="000000"/>
              </w:rPr>
            </w:pPr>
            <w:r>
              <w:rPr>
                <w:color w:val="000000"/>
              </w:rPr>
              <w:t xml:space="preserve">　</w:t>
            </w:r>
          </w:p>
        </w:tc>
        <w:tc>
          <w:tcPr>
            <w:tcW w:w="1591" w:type="dxa"/>
            <w:tcBorders>
              <w:top w:val="nil"/>
              <w:left w:val="nil"/>
              <w:bottom w:val="single" w:sz="4" w:space="0" w:color="auto"/>
              <w:right w:val="single" w:sz="4" w:space="0" w:color="auto"/>
            </w:tcBorders>
            <w:shd w:val="clear" w:color="auto" w:fill="auto"/>
          </w:tcPr>
          <w:p w:rsidR="00F43A36" w:rsidRDefault="00061A8A">
            <w:pPr>
              <w:rPr>
                <w:color w:val="000000"/>
              </w:rPr>
            </w:pPr>
            <w:r>
              <w:rPr>
                <w:color w:val="000000"/>
              </w:rPr>
              <w:t xml:space="preserve">　</w:t>
            </w:r>
          </w:p>
        </w:tc>
        <w:tc>
          <w:tcPr>
            <w:tcW w:w="1083" w:type="dxa"/>
            <w:gridSpan w:val="2"/>
            <w:tcBorders>
              <w:top w:val="single" w:sz="4" w:space="0" w:color="auto"/>
              <w:left w:val="nil"/>
              <w:bottom w:val="single" w:sz="4" w:space="0" w:color="auto"/>
              <w:right w:val="single" w:sz="4" w:space="0" w:color="auto"/>
            </w:tcBorders>
            <w:shd w:val="clear" w:color="auto" w:fill="auto"/>
          </w:tcPr>
          <w:p w:rsidR="00F43A36" w:rsidRDefault="00061A8A">
            <w:pPr>
              <w:rPr>
                <w:color w:val="000000"/>
              </w:rPr>
            </w:pPr>
            <w:r>
              <w:rPr>
                <w:color w:val="000000"/>
              </w:rPr>
              <w:t xml:space="preserve">　</w:t>
            </w:r>
          </w:p>
        </w:tc>
        <w:tc>
          <w:tcPr>
            <w:tcW w:w="2741" w:type="dxa"/>
            <w:gridSpan w:val="3"/>
            <w:tcBorders>
              <w:top w:val="single" w:sz="4" w:space="0" w:color="auto"/>
              <w:left w:val="nil"/>
              <w:bottom w:val="single" w:sz="4" w:space="0" w:color="auto"/>
              <w:right w:val="single" w:sz="4" w:space="0" w:color="auto"/>
            </w:tcBorders>
            <w:shd w:val="clear" w:color="auto" w:fill="auto"/>
          </w:tcPr>
          <w:p w:rsidR="00F43A36" w:rsidRDefault="00061A8A">
            <w:pPr>
              <w:rPr>
                <w:color w:val="000000"/>
              </w:rPr>
            </w:pPr>
            <w:r>
              <w:rPr>
                <w:color w:val="000000"/>
              </w:rPr>
              <w:t xml:space="preserve">　</w:t>
            </w:r>
          </w:p>
        </w:tc>
        <w:tc>
          <w:tcPr>
            <w:tcW w:w="1388" w:type="dxa"/>
            <w:tcBorders>
              <w:top w:val="nil"/>
              <w:left w:val="nil"/>
              <w:bottom w:val="single" w:sz="4" w:space="0" w:color="auto"/>
              <w:right w:val="single" w:sz="4" w:space="0" w:color="auto"/>
            </w:tcBorders>
            <w:shd w:val="clear" w:color="auto" w:fill="auto"/>
          </w:tcPr>
          <w:p w:rsidR="00F43A36" w:rsidRDefault="00061A8A">
            <w:pPr>
              <w:rPr>
                <w:color w:val="000000"/>
              </w:rPr>
            </w:pPr>
            <w:r>
              <w:rPr>
                <w:color w:val="000000"/>
              </w:rPr>
              <w:t xml:space="preserve">　</w:t>
            </w:r>
          </w:p>
        </w:tc>
      </w:tr>
      <w:tr w:rsidR="00F43A36">
        <w:trPr>
          <w:trHeight w:val="464"/>
        </w:trPr>
        <w:tc>
          <w:tcPr>
            <w:tcW w:w="914" w:type="dxa"/>
            <w:vMerge/>
            <w:tcBorders>
              <w:top w:val="nil"/>
              <w:left w:val="single" w:sz="4" w:space="0" w:color="auto"/>
              <w:bottom w:val="single" w:sz="4" w:space="0" w:color="000000"/>
              <w:right w:val="single" w:sz="4" w:space="0" w:color="auto"/>
            </w:tcBorders>
            <w:shd w:val="clear" w:color="auto" w:fill="auto"/>
            <w:vAlign w:val="center"/>
          </w:tcPr>
          <w:p w:rsidR="00F43A36" w:rsidRDefault="00F43A36">
            <w:pPr>
              <w:rPr>
                <w:rFonts w:ascii="宋体" w:hAnsi="宋体" w:cs="宋体"/>
                <w:color w:val="000000"/>
                <w:sz w:val="20"/>
                <w:szCs w:val="20"/>
              </w:rPr>
            </w:pPr>
          </w:p>
        </w:tc>
        <w:tc>
          <w:tcPr>
            <w:tcW w:w="1303" w:type="dxa"/>
            <w:tcBorders>
              <w:top w:val="nil"/>
              <w:left w:val="nil"/>
              <w:bottom w:val="single" w:sz="4" w:space="0" w:color="auto"/>
              <w:right w:val="single" w:sz="4" w:space="0" w:color="auto"/>
            </w:tcBorders>
            <w:shd w:val="clear" w:color="auto" w:fill="auto"/>
          </w:tcPr>
          <w:p w:rsidR="00F43A36" w:rsidRDefault="00061A8A">
            <w:pPr>
              <w:rPr>
                <w:color w:val="000000"/>
              </w:rPr>
            </w:pPr>
            <w:r>
              <w:rPr>
                <w:color w:val="000000"/>
              </w:rPr>
              <w:t xml:space="preserve">　</w:t>
            </w:r>
          </w:p>
        </w:tc>
        <w:tc>
          <w:tcPr>
            <w:tcW w:w="1591" w:type="dxa"/>
            <w:tcBorders>
              <w:top w:val="nil"/>
              <w:left w:val="nil"/>
              <w:bottom w:val="single" w:sz="4" w:space="0" w:color="auto"/>
              <w:right w:val="single" w:sz="4" w:space="0" w:color="auto"/>
            </w:tcBorders>
            <w:shd w:val="clear" w:color="auto" w:fill="auto"/>
          </w:tcPr>
          <w:p w:rsidR="00F43A36" w:rsidRDefault="00061A8A">
            <w:pPr>
              <w:rPr>
                <w:color w:val="000000"/>
              </w:rPr>
            </w:pPr>
            <w:r>
              <w:rPr>
                <w:color w:val="000000"/>
              </w:rPr>
              <w:t xml:space="preserve">　</w:t>
            </w:r>
          </w:p>
        </w:tc>
        <w:tc>
          <w:tcPr>
            <w:tcW w:w="1083" w:type="dxa"/>
            <w:gridSpan w:val="2"/>
            <w:tcBorders>
              <w:top w:val="single" w:sz="4" w:space="0" w:color="auto"/>
              <w:left w:val="nil"/>
              <w:bottom w:val="single" w:sz="4" w:space="0" w:color="auto"/>
              <w:right w:val="single" w:sz="4" w:space="0" w:color="auto"/>
            </w:tcBorders>
            <w:shd w:val="clear" w:color="auto" w:fill="auto"/>
          </w:tcPr>
          <w:p w:rsidR="00F43A36" w:rsidRDefault="00061A8A">
            <w:pPr>
              <w:rPr>
                <w:color w:val="000000"/>
              </w:rPr>
            </w:pPr>
            <w:r>
              <w:rPr>
                <w:color w:val="000000"/>
              </w:rPr>
              <w:t xml:space="preserve">　</w:t>
            </w:r>
          </w:p>
        </w:tc>
        <w:tc>
          <w:tcPr>
            <w:tcW w:w="2741" w:type="dxa"/>
            <w:gridSpan w:val="3"/>
            <w:tcBorders>
              <w:top w:val="single" w:sz="4" w:space="0" w:color="auto"/>
              <w:left w:val="nil"/>
              <w:bottom w:val="single" w:sz="4" w:space="0" w:color="auto"/>
              <w:right w:val="single" w:sz="4" w:space="0" w:color="auto"/>
            </w:tcBorders>
            <w:shd w:val="clear" w:color="auto" w:fill="auto"/>
          </w:tcPr>
          <w:p w:rsidR="00F43A36" w:rsidRDefault="00061A8A">
            <w:pPr>
              <w:rPr>
                <w:color w:val="000000"/>
              </w:rPr>
            </w:pPr>
            <w:r>
              <w:rPr>
                <w:color w:val="000000"/>
              </w:rPr>
              <w:t xml:space="preserve">　</w:t>
            </w:r>
          </w:p>
        </w:tc>
        <w:tc>
          <w:tcPr>
            <w:tcW w:w="1388" w:type="dxa"/>
            <w:tcBorders>
              <w:top w:val="nil"/>
              <w:left w:val="nil"/>
              <w:bottom w:val="single" w:sz="4" w:space="0" w:color="auto"/>
              <w:right w:val="single" w:sz="4" w:space="0" w:color="auto"/>
            </w:tcBorders>
            <w:shd w:val="clear" w:color="auto" w:fill="auto"/>
          </w:tcPr>
          <w:p w:rsidR="00F43A36" w:rsidRDefault="00061A8A">
            <w:pPr>
              <w:rPr>
                <w:color w:val="000000"/>
              </w:rPr>
            </w:pPr>
            <w:r>
              <w:rPr>
                <w:color w:val="000000"/>
              </w:rPr>
              <w:t xml:space="preserve">　</w:t>
            </w:r>
          </w:p>
        </w:tc>
      </w:tr>
      <w:tr w:rsidR="00F43A36">
        <w:trPr>
          <w:trHeight w:val="464"/>
        </w:trPr>
        <w:tc>
          <w:tcPr>
            <w:tcW w:w="914" w:type="dxa"/>
            <w:vMerge/>
            <w:tcBorders>
              <w:top w:val="nil"/>
              <w:left w:val="single" w:sz="4" w:space="0" w:color="auto"/>
              <w:bottom w:val="single" w:sz="4" w:space="0" w:color="000000"/>
              <w:right w:val="single" w:sz="4" w:space="0" w:color="auto"/>
            </w:tcBorders>
            <w:shd w:val="clear" w:color="auto" w:fill="auto"/>
            <w:vAlign w:val="center"/>
          </w:tcPr>
          <w:p w:rsidR="00F43A36" w:rsidRDefault="00F43A36">
            <w:pPr>
              <w:rPr>
                <w:rFonts w:ascii="宋体" w:hAnsi="宋体" w:cs="宋体"/>
                <w:color w:val="000000"/>
                <w:sz w:val="20"/>
                <w:szCs w:val="20"/>
              </w:rPr>
            </w:pPr>
          </w:p>
        </w:tc>
        <w:tc>
          <w:tcPr>
            <w:tcW w:w="1303" w:type="dxa"/>
            <w:tcBorders>
              <w:top w:val="nil"/>
              <w:left w:val="nil"/>
              <w:bottom w:val="single" w:sz="4" w:space="0" w:color="auto"/>
              <w:right w:val="single" w:sz="4" w:space="0" w:color="auto"/>
            </w:tcBorders>
            <w:shd w:val="clear" w:color="auto" w:fill="auto"/>
          </w:tcPr>
          <w:p w:rsidR="00F43A36" w:rsidRDefault="00061A8A">
            <w:pPr>
              <w:rPr>
                <w:color w:val="000000"/>
              </w:rPr>
            </w:pPr>
            <w:r>
              <w:rPr>
                <w:color w:val="000000"/>
              </w:rPr>
              <w:t xml:space="preserve">　</w:t>
            </w:r>
          </w:p>
        </w:tc>
        <w:tc>
          <w:tcPr>
            <w:tcW w:w="1591" w:type="dxa"/>
            <w:tcBorders>
              <w:top w:val="nil"/>
              <w:left w:val="nil"/>
              <w:bottom w:val="single" w:sz="4" w:space="0" w:color="auto"/>
              <w:right w:val="single" w:sz="4" w:space="0" w:color="auto"/>
            </w:tcBorders>
            <w:shd w:val="clear" w:color="auto" w:fill="auto"/>
          </w:tcPr>
          <w:p w:rsidR="00F43A36" w:rsidRDefault="00061A8A">
            <w:pPr>
              <w:rPr>
                <w:color w:val="000000"/>
              </w:rPr>
            </w:pPr>
            <w:r>
              <w:rPr>
                <w:color w:val="000000"/>
              </w:rPr>
              <w:t xml:space="preserve">　</w:t>
            </w:r>
          </w:p>
        </w:tc>
        <w:tc>
          <w:tcPr>
            <w:tcW w:w="1083" w:type="dxa"/>
            <w:gridSpan w:val="2"/>
            <w:tcBorders>
              <w:top w:val="single" w:sz="4" w:space="0" w:color="auto"/>
              <w:left w:val="nil"/>
              <w:bottom w:val="single" w:sz="4" w:space="0" w:color="auto"/>
              <w:right w:val="single" w:sz="4" w:space="0" w:color="auto"/>
            </w:tcBorders>
            <w:shd w:val="clear" w:color="auto" w:fill="auto"/>
          </w:tcPr>
          <w:p w:rsidR="00F43A36" w:rsidRDefault="00061A8A">
            <w:pPr>
              <w:rPr>
                <w:color w:val="000000"/>
              </w:rPr>
            </w:pPr>
            <w:r>
              <w:rPr>
                <w:color w:val="000000"/>
              </w:rPr>
              <w:t xml:space="preserve">　</w:t>
            </w:r>
          </w:p>
        </w:tc>
        <w:tc>
          <w:tcPr>
            <w:tcW w:w="2741" w:type="dxa"/>
            <w:gridSpan w:val="3"/>
            <w:tcBorders>
              <w:top w:val="single" w:sz="4" w:space="0" w:color="auto"/>
              <w:left w:val="nil"/>
              <w:bottom w:val="single" w:sz="4" w:space="0" w:color="auto"/>
              <w:right w:val="single" w:sz="4" w:space="0" w:color="auto"/>
            </w:tcBorders>
            <w:shd w:val="clear" w:color="auto" w:fill="auto"/>
          </w:tcPr>
          <w:p w:rsidR="00F43A36" w:rsidRDefault="00061A8A">
            <w:pPr>
              <w:rPr>
                <w:color w:val="000000"/>
              </w:rPr>
            </w:pPr>
            <w:r>
              <w:rPr>
                <w:color w:val="000000"/>
              </w:rPr>
              <w:t xml:space="preserve">　</w:t>
            </w:r>
          </w:p>
        </w:tc>
        <w:tc>
          <w:tcPr>
            <w:tcW w:w="1388" w:type="dxa"/>
            <w:tcBorders>
              <w:top w:val="nil"/>
              <w:left w:val="nil"/>
              <w:bottom w:val="single" w:sz="4" w:space="0" w:color="auto"/>
              <w:right w:val="single" w:sz="4" w:space="0" w:color="auto"/>
            </w:tcBorders>
            <w:shd w:val="clear" w:color="auto" w:fill="auto"/>
          </w:tcPr>
          <w:p w:rsidR="00F43A36" w:rsidRDefault="00061A8A">
            <w:pPr>
              <w:rPr>
                <w:color w:val="000000"/>
              </w:rPr>
            </w:pPr>
            <w:r>
              <w:rPr>
                <w:color w:val="000000"/>
              </w:rPr>
              <w:t xml:space="preserve">　</w:t>
            </w:r>
          </w:p>
        </w:tc>
      </w:tr>
      <w:tr w:rsidR="00F43A36">
        <w:trPr>
          <w:trHeight w:val="619"/>
        </w:trPr>
        <w:tc>
          <w:tcPr>
            <w:tcW w:w="914" w:type="dxa"/>
            <w:vMerge w:val="restart"/>
            <w:tcBorders>
              <w:top w:val="nil"/>
              <w:left w:val="single" w:sz="4" w:space="0" w:color="auto"/>
              <w:bottom w:val="single" w:sz="4" w:space="0" w:color="auto"/>
              <w:right w:val="single" w:sz="4" w:space="0" w:color="auto"/>
            </w:tcBorders>
            <w:shd w:val="clear" w:color="auto" w:fill="auto"/>
            <w:vAlign w:val="center"/>
          </w:tcPr>
          <w:p w:rsidR="00F43A36" w:rsidRDefault="00061A8A">
            <w:pPr>
              <w:jc w:val="center"/>
              <w:rPr>
                <w:rFonts w:ascii="宋体" w:hAnsi="宋体" w:cs="宋体"/>
                <w:color w:val="000000"/>
                <w:sz w:val="20"/>
                <w:szCs w:val="20"/>
              </w:rPr>
            </w:pPr>
            <w:r>
              <w:rPr>
                <w:rFonts w:ascii="宋体" w:hAnsi="宋体" w:cs="宋体" w:hint="eastAsia"/>
                <w:color w:val="000000"/>
                <w:sz w:val="20"/>
                <w:szCs w:val="20"/>
              </w:rPr>
              <w:t>关联法人或其他组织情况</w:t>
            </w:r>
          </w:p>
        </w:tc>
        <w:tc>
          <w:tcPr>
            <w:tcW w:w="3435" w:type="dxa"/>
            <w:gridSpan w:val="3"/>
            <w:tcBorders>
              <w:top w:val="single" w:sz="4" w:space="0" w:color="auto"/>
              <w:left w:val="nil"/>
              <w:bottom w:val="single" w:sz="4" w:space="0" w:color="auto"/>
              <w:right w:val="single" w:sz="4" w:space="0" w:color="auto"/>
            </w:tcBorders>
            <w:shd w:val="clear" w:color="auto" w:fill="auto"/>
            <w:vAlign w:val="center"/>
          </w:tcPr>
          <w:p w:rsidR="00F43A36" w:rsidRDefault="00061A8A">
            <w:pPr>
              <w:jc w:val="center"/>
              <w:rPr>
                <w:rFonts w:ascii="宋体" w:hAnsi="宋体" w:cs="宋体"/>
                <w:color w:val="000000"/>
                <w:sz w:val="20"/>
                <w:szCs w:val="20"/>
              </w:rPr>
            </w:pPr>
            <w:r>
              <w:rPr>
                <w:rFonts w:ascii="宋体" w:hAnsi="宋体" w:cs="宋体" w:hint="eastAsia"/>
                <w:color w:val="000000"/>
                <w:sz w:val="20"/>
                <w:szCs w:val="20"/>
              </w:rPr>
              <w:t>机构全称</w:t>
            </w:r>
          </w:p>
        </w:tc>
        <w:tc>
          <w:tcPr>
            <w:tcW w:w="1456" w:type="dxa"/>
            <w:gridSpan w:val="2"/>
            <w:tcBorders>
              <w:top w:val="single" w:sz="4" w:space="0" w:color="auto"/>
              <w:left w:val="nil"/>
              <w:bottom w:val="single" w:sz="4" w:space="0" w:color="auto"/>
              <w:right w:val="single" w:sz="4" w:space="0" w:color="auto"/>
            </w:tcBorders>
            <w:shd w:val="clear" w:color="auto" w:fill="auto"/>
            <w:vAlign w:val="center"/>
          </w:tcPr>
          <w:p w:rsidR="00F43A36" w:rsidRDefault="00061A8A">
            <w:pPr>
              <w:jc w:val="center"/>
              <w:rPr>
                <w:rFonts w:ascii="宋体" w:hAnsi="宋体" w:cs="宋体"/>
                <w:color w:val="000000"/>
                <w:sz w:val="20"/>
                <w:szCs w:val="20"/>
              </w:rPr>
            </w:pPr>
            <w:r>
              <w:rPr>
                <w:rFonts w:ascii="宋体" w:hAnsi="宋体" w:cs="宋体" w:hint="eastAsia"/>
                <w:color w:val="000000"/>
                <w:sz w:val="20"/>
                <w:szCs w:val="20"/>
              </w:rPr>
              <w:t>组织机构代码</w:t>
            </w:r>
          </w:p>
        </w:tc>
        <w:tc>
          <w:tcPr>
            <w:tcW w:w="1827" w:type="dxa"/>
            <w:gridSpan w:val="2"/>
            <w:tcBorders>
              <w:top w:val="single" w:sz="4" w:space="0" w:color="auto"/>
              <w:left w:val="nil"/>
              <w:bottom w:val="single" w:sz="4" w:space="0" w:color="auto"/>
              <w:right w:val="single" w:sz="4" w:space="0" w:color="auto"/>
            </w:tcBorders>
            <w:shd w:val="clear" w:color="auto" w:fill="auto"/>
            <w:vAlign w:val="center"/>
          </w:tcPr>
          <w:p w:rsidR="00F43A36" w:rsidRDefault="00061A8A">
            <w:pPr>
              <w:jc w:val="center"/>
              <w:rPr>
                <w:rFonts w:ascii="宋体" w:hAnsi="宋体" w:cs="宋体"/>
                <w:color w:val="000000"/>
                <w:sz w:val="20"/>
                <w:szCs w:val="20"/>
              </w:rPr>
            </w:pPr>
            <w:r>
              <w:rPr>
                <w:rFonts w:ascii="宋体" w:hAnsi="宋体" w:cs="宋体" w:hint="eastAsia"/>
                <w:color w:val="000000"/>
                <w:sz w:val="20"/>
                <w:szCs w:val="20"/>
              </w:rPr>
              <w:t>所属集团</w:t>
            </w:r>
          </w:p>
        </w:tc>
        <w:tc>
          <w:tcPr>
            <w:tcW w:w="1388" w:type="dxa"/>
            <w:tcBorders>
              <w:top w:val="nil"/>
              <w:left w:val="nil"/>
              <w:bottom w:val="single" w:sz="4" w:space="0" w:color="auto"/>
              <w:right w:val="single" w:sz="4" w:space="0" w:color="auto"/>
            </w:tcBorders>
            <w:shd w:val="clear" w:color="auto" w:fill="auto"/>
            <w:vAlign w:val="center"/>
          </w:tcPr>
          <w:p w:rsidR="00F43A36" w:rsidRDefault="00061A8A">
            <w:pPr>
              <w:jc w:val="center"/>
              <w:rPr>
                <w:rFonts w:ascii="宋体" w:hAnsi="宋体" w:cs="宋体"/>
                <w:color w:val="000000"/>
                <w:sz w:val="20"/>
                <w:szCs w:val="20"/>
              </w:rPr>
            </w:pPr>
            <w:r>
              <w:rPr>
                <w:rFonts w:ascii="宋体" w:hAnsi="宋体" w:cs="宋体" w:hint="eastAsia"/>
                <w:color w:val="000000"/>
                <w:sz w:val="20"/>
                <w:szCs w:val="20"/>
              </w:rPr>
              <w:t>与本行关联关系或退出原因</w:t>
            </w:r>
          </w:p>
        </w:tc>
      </w:tr>
      <w:tr w:rsidR="00F43A36">
        <w:trPr>
          <w:trHeight w:val="464"/>
        </w:trPr>
        <w:tc>
          <w:tcPr>
            <w:tcW w:w="914" w:type="dxa"/>
            <w:vMerge/>
            <w:tcBorders>
              <w:top w:val="nil"/>
              <w:left w:val="single" w:sz="4" w:space="0" w:color="auto"/>
              <w:bottom w:val="single" w:sz="4" w:space="0" w:color="auto"/>
              <w:right w:val="single" w:sz="4" w:space="0" w:color="auto"/>
            </w:tcBorders>
            <w:shd w:val="clear" w:color="auto" w:fill="auto"/>
            <w:vAlign w:val="center"/>
          </w:tcPr>
          <w:p w:rsidR="00F43A36" w:rsidRDefault="00F43A36">
            <w:pPr>
              <w:rPr>
                <w:rFonts w:ascii="宋体" w:hAnsi="宋体" w:cs="宋体"/>
                <w:color w:val="000000"/>
                <w:sz w:val="20"/>
                <w:szCs w:val="20"/>
              </w:rPr>
            </w:pPr>
          </w:p>
        </w:tc>
        <w:tc>
          <w:tcPr>
            <w:tcW w:w="3435" w:type="dxa"/>
            <w:gridSpan w:val="3"/>
            <w:tcBorders>
              <w:top w:val="single" w:sz="4" w:space="0" w:color="auto"/>
              <w:left w:val="nil"/>
              <w:bottom w:val="single" w:sz="4" w:space="0" w:color="auto"/>
              <w:right w:val="single" w:sz="4" w:space="0" w:color="auto"/>
            </w:tcBorders>
            <w:shd w:val="clear" w:color="auto" w:fill="auto"/>
            <w:vAlign w:val="center"/>
          </w:tcPr>
          <w:p w:rsidR="00F43A36" w:rsidRDefault="00061A8A">
            <w:pPr>
              <w:jc w:val="center"/>
              <w:rPr>
                <w:rFonts w:ascii="宋体" w:hAnsi="宋体" w:cs="宋体"/>
                <w:color w:val="000000"/>
                <w:sz w:val="20"/>
                <w:szCs w:val="20"/>
              </w:rPr>
            </w:pPr>
            <w:r>
              <w:rPr>
                <w:rFonts w:ascii="宋体" w:hAnsi="宋体" w:cs="宋体" w:hint="eastAsia"/>
                <w:color w:val="000000"/>
                <w:sz w:val="20"/>
                <w:szCs w:val="20"/>
              </w:rPr>
              <w:t xml:space="preserve">　</w:t>
            </w:r>
          </w:p>
        </w:tc>
        <w:tc>
          <w:tcPr>
            <w:tcW w:w="1456" w:type="dxa"/>
            <w:gridSpan w:val="2"/>
            <w:tcBorders>
              <w:top w:val="single" w:sz="4" w:space="0" w:color="auto"/>
              <w:left w:val="nil"/>
              <w:bottom w:val="single" w:sz="4" w:space="0" w:color="auto"/>
              <w:right w:val="single" w:sz="4" w:space="0" w:color="auto"/>
            </w:tcBorders>
            <w:shd w:val="clear" w:color="auto" w:fill="auto"/>
            <w:vAlign w:val="center"/>
          </w:tcPr>
          <w:p w:rsidR="00F43A36" w:rsidRDefault="00061A8A">
            <w:pPr>
              <w:jc w:val="center"/>
              <w:rPr>
                <w:rFonts w:ascii="宋体" w:hAnsi="宋体" w:cs="宋体"/>
                <w:color w:val="000000"/>
                <w:sz w:val="20"/>
                <w:szCs w:val="20"/>
              </w:rPr>
            </w:pPr>
            <w:r>
              <w:rPr>
                <w:rFonts w:ascii="宋体" w:hAnsi="宋体" w:cs="宋体" w:hint="eastAsia"/>
                <w:color w:val="000000"/>
                <w:sz w:val="20"/>
                <w:szCs w:val="20"/>
              </w:rPr>
              <w:t xml:space="preserve">　</w:t>
            </w:r>
          </w:p>
        </w:tc>
        <w:tc>
          <w:tcPr>
            <w:tcW w:w="1827" w:type="dxa"/>
            <w:gridSpan w:val="2"/>
            <w:tcBorders>
              <w:top w:val="single" w:sz="4" w:space="0" w:color="auto"/>
              <w:left w:val="nil"/>
              <w:bottom w:val="single" w:sz="4" w:space="0" w:color="auto"/>
              <w:right w:val="single" w:sz="4" w:space="0" w:color="auto"/>
            </w:tcBorders>
            <w:shd w:val="clear" w:color="auto" w:fill="auto"/>
            <w:vAlign w:val="center"/>
          </w:tcPr>
          <w:p w:rsidR="00F43A36" w:rsidRDefault="00061A8A">
            <w:pPr>
              <w:jc w:val="center"/>
              <w:rPr>
                <w:rFonts w:ascii="宋体" w:hAnsi="宋体" w:cs="宋体"/>
                <w:color w:val="000000"/>
                <w:sz w:val="20"/>
                <w:szCs w:val="20"/>
              </w:rPr>
            </w:pPr>
            <w:r>
              <w:rPr>
                <w:rFonts w:ascii="宋体" w:hAnsi="宋体" w:cs="宋体" w:hint="eastAsia"/>
                <w:color w:val="000000"/>
                <w:sz w:val="20"/>
                <w:szCs w:val="20"/>
              </w:rPr>
              <w:t xml:space="preserve">　</w:t>
            </w:r>
          </w:p>
        </w:tc>
        <w:tc>
          <w:tcPr>
            <w:tcW w:w="1388" w:type="dxa"/>
            <w:tcBorders>
              <w:top w:val="nil"/>
              <w:left w:val="nil"/>
              <w:bottom w:val="single" w:sz="4" w:space="0" w:color="auto"/>
              <w:right w:val="single" w:sz="4" w:space="0" w:color="auto"/>
            </w:tcBorders>
            <w:shd w:val="clear" w:color="auto" w:fill="auto"/>
            <w:vAlign w:val="center"/>
          </w:tcPr>
          <w:p w:rsidR="00F43A36" w:rsidRDefault="00061A8A">
            <w:pPr>
              <w:jc w:val="center"/>
              <w:rPr>
                <w:rFonts w:ascii="宋体" w:hAnsi="宋体" w:cs="宋体"/>
                <w:color w:val="000000"/>
                <w:sz w:val="20"/>
                <w:szCs w:val="20"/>
              </w:rPr>
            </w:pPr>
            <w:r>
              <w:rPr>
                <w:rFonts w:ascii="宋体" w:hAnsi="宋体" w:cs="宋体" w:hint="eastAsia"/>
                <w:color w:val="000000"/>
                <w:sz w:val="20"/>
                <w:szCs w:val="20"/>
              </w:rPr>
              <w:t xml:space="preserve">　</w:t>
            </w:r>
          </w:p>
        </w:tc>
      </w:tr>
      <w:tr w:rsidR="00F43A36">
        <w:trPr>
          <w:trHeight w:val="464"/>
        </w:trPr>
        <w:tc>
          <w:tcPr>
            <w:tcW w:w="914" w:type="dxa"/>
            <w:vMerge/>
            <w:tcBorders>
              <w:top w:val="nil"/>
              <w:left w:val="single" w:sz="4" w:space="0" w:color="auto"/>
              <w:bottom w:val="single" w:sz="4" w:space="0" w:color="auto"/>
              <w:right w:val="single" w:sz="4" w:space="0" w:color="auto"/>
            </w:tcBorders>
            <w:shd w:val="clear" w:color="auto" w:fill="auto"/>
            <w:vAlign w:val="center"/>
          </w:tcPr>
          <w:p w:rsidR="00F43A36" w:rsidRDefault="00F43A36">
            <w:pPr>
              <w:rPr>
                <w:rFonts w:ascii="宋体" w:hAnsi="宋体" w:cs="宋体"/>
                <w:color w:val="000000"/>
                <w:sz w:val="20"/>
                <w:szCs w:val="20"/>
              </w:rPr>
            </w:pPr>
          </w:p>
        </w:tc>
        <w:tc>
          <w:tcPr>
            <w:tcW w:w="3435" w:type="dxa"/>
            <w:gridSpan w:val="3"/>
            <w:tcBorders>
              <w:top w:val="single" w:sz="4" w:space="0" w:color="auto"/>
              <w:left w:val="nil"/>
              <w:bottom w:val="single" w:sz="4" w:space="0" w:color="auto"/>
              <w:right w:val="single" w:sz="4" w:space="0" w:color="auto"/>
            </w:tcBorders>
            <w:shd w:val="clear" w:color="auto" w:fill="auto"/>
            <w:vAlign w:val="center"/>
          </w:tcPr>
          <w:p w:rsidR="00F43A36" w:rsidRDefault="00061A8A">
            <w:pPr>
              <w:jc w:val="center"/>
              <w:rPr>
                <w:rFonts w:ascii="宋体" w:hAnsi="宋体" w:cs="宋体"/>
                <w:color w:val="000000"/>
                <w:sz w:val="20"/>
                <w:szCs w:val="20"/>
              </w:rPr>
            </w:pPr>
            <w:r>
              <w:rPr>
                <w:rFonts w:ascii="宋体" w:hAnsi="宋体" w:cs="宋体" w:hint="eastAsia"/>
                <w:color w:val="000000"/>
                <w:sz w:val="20"/>
                <w:szCs w:val="20"/>
              </w:rPr>
              <w:t xml:space="preserve">　</w:t>
            </w:r>
          </w:p>
        </w:tc>
        <w:tc>
          <w:tcPr>
            <w:tcW w:w="1456" w:type="dxa"/>
            <w:gridSpan w:val="2"/>
            <w:tcBorders>
              <w:top w:val="single" w:sz="4" w:space="0" w:color="auto"/>
              <w:left w:val="nil"/>
              <w:bottom w:val="single" w:sz="4" w:space="0" w:color="auto"/>
              <w:right w:val="single" w:sz="4" w:space="0" w:color="auto"/>
            </w:tcBorders>
            <w:shd w:val="clear" w:color="auto" w:fill="auto"/>
            <w:vAlign w:val="center"/>
          </w:tcPr>
          <w:p w:rsidR="00F43A36" w:rsidRDefault="00061A8A">
            <w:pPr>
              <w:jc w:val="center"/>
              <w:rPr>
                <w:rFonts w:ascii="宋体" w:hAnsi="宋体" w:cs="宋体"/>
                <w:color w:val="000000"/>
                <w:sz w:val="20"/>
                <w:szCs w:val="20"/>
              </w:rPr>
            </w:pPr>
            <w:r>
              <w:rPr>
                <w:rFonts w:ascii="宋体" w:hAnsi="宋体" w:cs="宋体" w:hint="eastAsia"/>
                <w:color w:val="000000"/>
                <w:sz w:val="20"/>
                <w:szCs w:val="20"/>
              </w:rPr>
              <w:t xml:space="preserve">　</w:t>
            </w:r>
          </w:p>
        </w:tc>
        <w:tc>
          <w:tcPr>
            <w:tcW w:w="1827" w:type="dxa"/>
            <w:gridSpan w:val="2"/>
            <w:tcBorders>
              <w:top w:val="single" w:sz="4" w:space="0" w:color="auto"/>
              <w:left w:val="nil"/>
              <w:bottom w:val="single" w:sz="4" w:space="0" w:color="auto"/>
              <w:right w:val="single" w:sz="4" w:space="0" w:color="auto"/>
            </w:tcBorders>
            <w:shd w:val="clear" w:color="auto" w:fill="auto"/>
            <w:vAlign w:val="center"/>
          </w:tcPr>
          <w:p w:rsidR="00F43A36" w:rsidRDefault="00061A8A">
            <w:pPr>
              <w:jc w:val="center"/>
              <w:rPr>
                <w:rFonts w:ascii="宋体" w:hAnsi="宋体" w:cs="宋体"/>
                <w:color w:val="000000"/>
                <w:sz w:val="20"/>
                <w:szCs w:val="20"/>
              </w:rPr>
            </w:pPr>
            <w:r>
              <w:rPr>
                <w:rFonts w:ascii="宋体" w:hAnsi="宋体" w:cs="宋体" w:hint="eastAsia"/>
                <w:color w:val="000000"/>
                <w:sz w:val="20"/>
                <w:szCs w:val="20"/>
              </w:rPr>
              <w:t xml:space="preserve">　</w:t>
            </w:r>
          </w:p>
        </w:tc>
        <w:tc>
          <w:tcPr>
            <w:tcW w:w="1388" w:type="dxa"/>
            <w:tcBorders>
              <w:top w:val="nil"/>
              <w:left w:val="nil"/>
              <w:bottom w:val="single" w:sz="4" w:space="0" w:color="auto"/>
              <w:right w:val="single" w:sz="4" w:space="0" w:color="auto"/>
            </w:tcBorders>
            <w:shd w:val="clear" w:color="auto" w:fill="auto"/>
            <w:vAlign w:val="center"/>
          </w:tcPr>
          <w:p w:rsidR="00F43A36" w:rsidRDefault="00061A8A">
            <w:pPr>
              <w:jc w:val="center"/>
              <w:rPr>
                <w:rFonts w:ascii="宋体" w:hAnsi="宋体" w:cs="宋体"/>
                <w:color w:val="000000"/>
                <w:sz w:val="20"/>
                <w:szCs w:val="20"/>
              </w:rPr>
            </w:pPr>
            <w:r>
              <w:rPr>
                <w:rFonts w:ascii="宋体" w:hAnsi="宋体" w:cs="宋体" w:hint="eastAsia"/>
                <w:color w:val="000000"/>
                <w:sz w:val="20"/>
                <w:szCs w:val="20"/>
              </w:rPr>
              <w:t xml:space="preserve">　</w:t>
            </w:r>
          </w:p>
        </w:tc>
      </w:tr>
      <w:tr w:rsidR="00F43A36">
        <w:trPr>
          <w:trHeight w:val="464"/>
        </w:trPr>
        <w:tc>
          <w:tcPr>
            <w:tcW w:w="914" w:type="dxa"/>
            <w:vMerge/>
            <w:tcBorders>
              <w:top w:val="nil"/>
              <w:left w:val="single" w:sz="4" w:space="0" w:color="auto"/>
              <w:bottom w:val="single" w:sz="4" w:space="0" w:color="auto"/>
              <w:right w:val="single" w:sz="4" w:space="0" w:color="auto"/>
            </w:tcBorders>
            <w:shd w:val="clear" w:color="auto" w:fill="auto"/>
            <w:vAlign w:val="center"/>
          </w:tcPr>
          <w:p w:rsidR="00F43A36" w:rsidRDefault="00F43A36">
            <w:pPr>
              <w:rPr>
                <w:rFonts w:ascii="宋体" w:hAnsi="宋体" w:cs="宋体"/>
                <w:color w:val="000000"/>
                <w:sz w:val="20"/>
                <w:szCs w:val="20"/>
              </w:rPr>
            </w:pPr>
          </w:p>
        </w:tc>
        <w:tc>
          <w:tcPr>
            <w:tcW w:w="3435" w:type="dxa"/>
            <w:gridSpan w:val="3"/>
            <w:tcBorders>
              <w:top w:val="single" w:sz="4" w:space="0" w:color="auto"/>
              <w:left w:val="nil"/>
              <w:bottom w:val="single" w:sz="4" w:space="0" w:color="auto"/>
              <w:right w:val="single" w:sz="4" w:space="0" w:color="auto"/>
            </w:tcBorders>
            <w:shd w:val="clear" w:color="auto" w:fill="auto"/>
            <w:vAlign w:val="center"/>
          </w:tcPr>
          <w:p w:rsidR="00F43A36" w:rsidRDefault="00061A8A">
            <w:pPr>
              <w:jc w:val="center"/>
              <w:rPr>
                <w:rFonts w:ascii="宋体" w:hAnsi="宋体" w:cs="宋体"/>
                <w:color w:val="000000"/>
                <w:sz w:val="20"/>
                <w:szCs w:val="20"/>
              </w:rPr>
            </w:pPr>
            <w:r>
              <w:rPr>
                <w:rFonts w:ascii="宋体" w:hAnsi="宋体" w:cs="宋体" w:hint="eastAsia"/>
                <w:color w:val="000000"/>
                <w:sz w:val="20"/>
                <w:szCs w:val="20"/>
              </w:rPr>
              <w:t xml:space="preserve">　</w:t>
            </w:r>
          </w:p>
        </w:tc>
        <w:tc>
          <w:tcPr>
            <w:tcW w:w="1456" w:type="dxa"/>
            <w:gridSpan w:val="2"/>
            <w:tcBorders>
              <w:top w:val="single" w:sz="4" w:space="0" w:color="auto"/>
              <w:left w:val="nil"/>
              <w:bottom w:val="single" w:sz="4" w:space="0" w:color="auto"/>
              <w:right w:val="single" w:sz="4" w:space="0" w:color="auto"/>
            </w:tcBorders>
            <w:shd w:val="clear" w:color="auto" w:fill="auto"/>
            <w:vAlign w:val="center"/>
          </w:tcPr>
          <w:p w:rsidR="00F43A36" w:rsidRDefault="00061A8A">
            <w:pPr>
              <w:jc w:val="center"/>
              <w:rPr>
                <w:rFonts w:ascii="宋体" w:hAnsi="宋体" w:cs="宋体"/>
                <w:color w:val="000000"/>
                <w:sz w:val="20"/>
                <w:szCs w:val="20"/>
              </w:rPr>
            </w:pPr>
            <w:r>
              <w:rPr>
                <w:rFonts w:ascii="宋体" w:hAnsi="宋体" w:cs="宋体" w:hint="eastAsia"/>
                <w:color w:val="000000"/>
                <w:sz w:val="20"/>
                <w:szCs w:val="20"/>
              </w:rPr>
              <w:t xml:space="preserve">　</w:t>
            </w:r>
          </w:p>
        </w:tc>
        <w:tc>
          <w:tcPr>
            <w:tcW w:w="1827" w:type="dxa"/>
            <w:gridSpan w:val="2"/>
            <w:tcBorders>
              <w:top w:val="single" w:sz="4" w:space="0" w:color="auto"/>
              <w:left w:val="nil"/>
              <w:bottom w:val="single" w:sz="4" w:space="0" w:color="auto"/>
              <w:right w:val="single" w:sz="4" w:space="0" w:color="auto"/>
            </w:tcBorders>
            <w:shd w:val="clear" w:color="auto" w:fill="auto"/>
            <w:vAlign w:val="center"/>
          </w:tcPr>
          <w:p w:rsidR="00F43A36" w:rsidRDefault="00061A8A">
            <w:pPr>
              <w:jc w:val="center"/>
              <w:rPr>
                <w:rFonts w:ascii="宋体" w:hAnsi="宋体" w:cs="宋体"/>
                <w:color w:val="000000"/>
                <w:sz w:val="20"/>
                <w:szCs w:val="20"/>
              </w:rPr>
            </w:pPr>
            <w:r>
              <w:rPr>
                <w:rFonts w:ascii="宋体" w:hAnsi="宋体" w:cs="宋体" w:hint="eastAsia"/>
                <w:color w:val="000000"/>
                <w:sz w:val="20"/>
                <w:szCs w:val="20"/>
              </w:rPr>
              <w:t xml:space="preserve">　</w:t>
            </w:r>
          </w:p>
        </w:tc>
        <w:tc>
          <w:tcPr>
            <w:tcW w:w="1388" w:type="dxa"/>
            <w:tcBorders>
              <w:top w:val="nil"/>
              <w:left w:val="nil"/>
              <w:bottom w:val="single" w:sz="4" w:space="0" w:color="auto"/>
              <w:right w:val="single" w:sz="4" w:space="0" w:color="auto"/>
            </w:tcBorders>
            <w:shd w:val="clear" w:color="auto" w:fill="auto"/>
            <w:vAlign w:val="center"/>
          </w:tcPr>
          <w:p w:rsidR="00F43A36" w:rsidRDefault="00061A8A">
            <w:pPr>
              <w:jc w:val="center"/>
              <w:rPr>
                <w:rFonts w:ascii="宋体" w:hAnsi="宋体" w:cs="宋体"/>
                <w:color w:val="000000"/>
                <w:sz w:val="20"/>
                <w:szCs w:val="20"/>
              </w:rPr>
            </w:pPr>
            <w:r>
              <w:rPr>
                <w:rFonts w:ascii="宋体" w:hAnsi="宋体" w:cs="宋体" w:hint="eastAsia"/>
                <w:color w:val="000000"/>
                <w:sz w:val="20"/>
                <w:szCs w:val="20"/>
              </w:rPr>
              <w:t xml:space="preserve">　</w:t>
            </w:r>
          </w:p>
        </w:tc>
      </w:tr>
      <w:tr w:rsidR="00F43A36">
        <w:trPr>
          <w:trHeight w:val="464"/>
        </w:trPr>
        <w:tc>
          <w:tcPr>
            <w:tcW w:w="914" w:type="dxa"/>
            <w:vMerge/>
            <w:tcBorders>
              <w:top w:val="nil"/>
              <w:left w:val="single" w:sz="4" w:space="0" w:color="auto"/>
              <w:bottom w:val="single" w:sz="4" w:space="0" w:color="auto"/>
              <w:right w:val="single" w:sz="4" w:space="0" w:color="auto"/>
            </w:tcBorders>
            <w:shd w:val="clear" w:color="auto" w:fill="auto"/>
            <w:vAlign w:val="center"/>
          </w:tcPr>
          <w:p w:rsidR="00F43A36" w:rsidRDefault="00F43A36">
            <w:pPr>
              <w:rPr>
                <w:rFonts w:ascii="宋体" w:hAnsi="宋体" w:cs="宋体"/>
                <w:color w:val="000000"/>
                <w:sz w:val="20"/>
                <w:szCs w:val="20"/>
              </w:rPr>
            </w:pPr>
          </w:p>
        </w:tc>
        <w:tc>
          <w:tcPr>
            <w:tcW w:w="3435" w:type="dxa"/>
            <w:gridSpan w:val="3"/>
            <w:tcBorders>
              <w:top w:val="single" w:sz="4" w:space="0" w:color="auto"/>
              <w:left w:val="nil"/>
              <w:bottom w:val="single" w:sz="4" w:space="0" w:color="auto"/>
              <w:right w:val="single" w:sz="4" w:space="0" w:color="auto"/>
            </w:tcBorders>
            <w:shd w:val="clear" w:color="auto" w:fill="auto"/>
            <w:vAlign w:val="center"/>
          </w:tcPr>
          <w:p w:rsidR="00F43A36" w:rsidRDefault="00061A8A">
            <w:pPr>
              <w:jc w:val="center"/>
              <w:rPr>
                <w:rFonts w:ascii="宋体" w:hAnsi="宋体" w:cs="宋体"/>
                <w:color w:val="000000"/>
                <w:sz w:val="20"/>
                <w:szCs w:val="20"/>
              </w:rPr>
            </w:pPr>
            <w:r>
              <w:rPr>
                <w:rFonts w:ascii="宋体" w:hAnsi="宋体" w:cs="宋体" w:hint="eastAsia"/>
                <w:color w:val="000000"/>
                <w:sz w:val="20"/>
                <w:szCs w:val="20"/>
              </w:rPr>
              <w:t xml:space="preserve">　</w:t>
            </w:r>
          </w:p>
        </w:tc>
        <w:tc>
          <w:tcPr>
            <w:tcW w:w="1456" w:type="dxa"/>
            <w:gridSpan w:val="2"/>
            <w:tcBorders>
              <w:top w:val="single" w:sz="4" w:space="0" w:color="auto"/>
              <w:left w:val="nil"/>
              <w:bottom w:val="single" w:sz="4" w:space="0" w:color="auto"/>
              <w:right w:val="single" w:sz="4" w:space="0" w:color="auto"/>
            </w:tcBorders>
            <w:shd w:val="clear" w:color="auto" w:fill="auto"/>
            <w:vAlign w:val="center"/>
          </w:tcPr>
          <w:p w:rsidR="00F43A36" w:rsidRDefault="00061A8A">
            <w:pPr>
              <w:jc w:val="center"/>
              <w:rPr>
                <w:rFonts w:ascii="宋体" w:hAnsi="宋体" w:cs="宋体"/>
                <w:color w:val="000000"/>
                <w:sz w:val="20"/>
                <w:szCs w:val="20"/>
              </w:rPr>
            </w:pPr>
            <w:r>
              <w:rPr>
                <w:rFonts w:ascii="宋体" w:hAnsi="宋体" w:cs="宋体" w:hint="eastAsia"/>
                <w:color w:val="000000"/>
                <w:sz w:val="20"/>
                <w:szCs w:val="20"/>
              </w:rPr>
              <w:t xml:space="preserve">　</w:t>
            </w:r>
          </w:p>
        </w:tc>
        <w:tc>
          <w:tcPr>
            <w:tcW w:w="1827" w:type="dxa"/>
            <w:gridSpan w:val="2"/>
            <w:tcBorders>
              <w:top w:val="single" w:sz="4" w:space="0" w:color="auto"/>
              <w:left w:val="nil"/>
              <w:bottom w:val="single" w:sz="4" w:space="0" w:color="auto"/>
              <w:right w:val="single" w:sz="4" w:space="0" w:color="auto"/>
            </w:tcBorders>
            <w:shd w:val="clear" w:color="auto" w:fill="auto"/>
            <w:vAlign w:val="center"/>
          </w:tcPr>
          <w:p w:rsidR="00F43A36" w:rsidRDefault="00061A8A">
            <w:pPr>
              <w:jc w:val="center"/>
              <w:rPr>
                <w:rFonts w:ascii="宋体" w:hAnsi="宋体" w:cs="宋体"/>
                <w:color w:val="000000"/>
                <w:sz w:val="20"/>
                <w:szCs w:val="20"/>
              </w:rPr>
            </w:pPr>
            <w:r>
              <w:rPr>
                <w:rFonts w:ascii="宋体" w:hAnsi="宋体" w:cs="宋体" w:hint="eastAsia"/>
                <w:color w:val="000000"/>
                <w:sz w:val="20"/>
                <w:szCs w:val="20"/>
              </w:rPr>
              <w:t xml:space="preserve">　</w:t>
            </w:r>
          </w:p>
        </w:tc>
        <w:tc>
          <w:tcPr>
            <w:tcW w:w="1388" w:type="dxa"/>
            <w:tcBorders>
              <w:top w:val="nil"/>
              <w:left w:val="nil"/>
              <w:bottom w:val="single" w:sz="4" w:space="0" w:color="auto"/>
              <w:right w:val="single" w:sz="4" w:space="0" w:color="auto"/>
            </w:tcBorders>
            <w:shd w:val="clear" w:color="auto" w:fill="auto"/>
            <w:vAlign w:val="center"/>
          </w:tcPr>
          <w:p w:rsidR="00F43A36" w:rsidRDefault="00061A8A">
            <w:pPr>
              <w:jc w:val="center"/>
              <w:rPr>
                <w:rFonts w:ascii="宋体" w:hAnsi="宋体" w:cs="宋体"/>
                <w:color w:val="000000"/>
                <w:sz w:val="20"/>
                <w:szCs w:val="20"/>
              </w:rPr>
            </w:pPr>
            <w:r>
              <w:rPr>
                <w:rFonts w:ascii="宋体" w:hAnsi="宋体" w:cs="宋体" w:hint="eastAsia"/>
                <w:color w:val="000000"/>
                <w:sz w:val="20"/>
                <w:szCs w:val="20"/>
              </w:rPr>
              <w:t xml:space="preserve">　</w:t>
            </w:r>
          </w:p>
        </w:tc>
      </w:tr>
      <w:tr w:rsidR="00F43A36">
        <w:trPr>
          <w:trHeight w:val="464"/>
        </w:trPr>
        <w:tc>
          <w:tcPr>
            <w:tcW w:w="914" w:type="dxa"/>
            <w:vMerge/>
            <w:tcBorders>
              <w:top w:val="nil"/>
              <w:left w:val="single" w:sz="4" w:space="0" w:color="auto"/>
              <w:bottom w:val="single" w:sz="4" w:space="0" w:color="auto"/>
              <w:right w:val="single" w:sz="4" w:space="0" w:color="auto"/>
            </w:tcBorders>
            <w:shd w:val="clear" w:color="auto" w:fill="auto"/>
            <w:vAlign w:val="center"/>
          </w:tcPr>
          <w:p w:rsidR="00F43A36" w:rsidRDefault="00F43A36">
            <w:pPr>
              <w:rPr>
                <w:rFonts w:ascii="宋体" w:hAnsi="宋体" w:cs="宋体"/>
                <w:color w:val="000000"/>
                <w:sz w:val="20"/>
                <w:szCs w:val="20"/>
              </w:rPr>
            </w:pPr>
          </w:p>
        </w:tc>
        <w:tc>
          <w:tcPr>
            <w:tcW w:w="3435" w:type="dxa"/>
            <w:gridSpan w:val="3"/>
            <w:tcBorders>
              <w:top w:val="single" w:sz="4" w:space="0" w:color="auto"/>
              <w:left w:val="nil"/>
              <w:bottom w:val="single" w:sz="4" w:space="0" w:color="auto"/>
              <w:right w:val="single" w:sz="4" w:space="0" w:color="auto"/>
            </w:tcBorders>
            <w:shd w:val="clear" w:color="auto" w:fill="auto"/>
            <w:vAlign w:val="center"/>
          </w:tcPr>
          <w:p w:rsidR="00F43A36" w:rsidRDefault="00061A8A">
            <w:pPr>
              <w:jc w:val="center"/>
              <w:rPr>
                <w:rFonts w:ascii="宋体" w:hAnsi="宋体" w:cs="宋体"/>
                <w:color w:val="000000"/>
                <w:sz w:val="20"/>
                <w:szCs w:val="20"/>
              </w:rPr>
            </w:pPr>
            <w:r>
              <w:rPr>
                <w:rFonts w:ascii="宋体" w:hAnsi="宋体" w:cs="宋体" w:hint="eastAsia"/>
                <w:color w:val="000000"/>
                <w:sz w:val="20"/>
                <w:szCs w:val="20"/>
              </w:rPr>
              <w:t xml:space="preserve">　</w:t>
            </w:r>
          </w:p>
        </w:tc>
        <w:tc>
          <w:tcPr>
            <w:tcW w:w="1456" w:type="dxa"/>
            <w:gridSpan w:val="2"/>
            <w:tcBorders>
              <w:top w:val="single" w:sz="4" w:space="0" w:color="auto"/>
              <w:left w:val="nil"/>
              <w:bottom w:val="single" w:sz="4" w:space="0" w:color="auto"/>
              <w:right w:val="single" w:sz="4" w:space="0" w:color="auto"/>
            </w:tcBorders>
            <w:shd w:val="clear" w:color="auto" w:fill="auto"/>
            <w:vAlign w:val="center"/>
          </w:tcPr>
          <w:p w:rsidR="00F43A36" w:rsidRDefault="00061A8A">
            <w:pPr>
              <w:jc w:val="center"/>
              <w:rPr>
                <w:rFonts w:ascii="宋体" w:hAnsi="宋体" w:cs="宋体"/>
                <w:color w:val="000000"/>
                <w:sz w:val="20"/>
                <w:szCs w:val="20"/>
              </w:rPr>
            </w:pPr>
            <w:r>
              <w:rPr>
                <w:rFonts w:ascii="宋体" w:hAnsi="宋体" w:cs="宋体" w:hint="eastAsia"/>
                <w:color w:val="000000"/>
                <w:sz w:val="20"/>
                <w:szCs w:val="20"/>
              </w:rPr>
              <w:t xml:space="preserve">　</w:t>
            </w:r>
          </w:p>
        </w:tc>
        <w:tc>
          <w:tcPr>
            <w:tcW w:w="1827" w:type="dxa"/>
            <w:gridSpan w:val="2"/>
            <w:tcBorders>
              <w:top w:val="single" w:sz="4" w:space="0" w:color="auto"/>
              <w:left w:val="nil"/>
              <w:bottom w:val="single" w:sz="4" w:space="0" w:color="auto"/>
              <w:right w:val="single" w:sz="4" w:space="0" w:color="auto"/>
            </w:tcBorders>
            <w:shd w:val="clear" w:color="auto" w:fill="auto"/>
            <w:vAlign w:val="center"/>
          </w:tcPr>
          <w:p w:rsidR="00F43A36" w:rsidRDefault="00061A8A">
            <w:pPr>
              <w:jc w:val="center"/>
              <w:rPr>
                <w:rFonts w:ascii="宋体" w:hAnsi="宋体" w:cs="宋体"/>
                <w:color w:val="000000"/>
                <w:sz w:val="20"/>
                <w:szCs w:val="20"/>
              </w:rPr>
            </w:pPr>
            <w:r>
              <w:rPr>
                <w:rFonts w:ascii="宋体" w:hAnsi="宋体" w:cs="宋体" w:hint="eastAsia"/>
                <w:color w:val="000000"/>
                <w:sz w:val="20"/>
                <w:szCs w:val="20"/>
              </w:rPr>
              <w:t xml:space="preserve">　</w:t>
            </w:r>
          </w:p>
        </w:tc>
        <w:tc>
          <w:tcPr>
            <w:tcW w:w="1388" w:type="dxa"/>
            <w:tcBorders>
              <w:top w:val="nil"/>
              <w:left w:val="nil"/>
              <w:bottom w:val="single" w:sz="4" w:space="0" w:color="auto"/>
              <w:right w:val="single" w:sz="4" w:space="0" w:color="auto"/>
            </w:tcBorders>
            <w:shd w:val="clear" w:color="auto" w:fill="auto"/>
            <w:vAlign w:val="center"/>
          </w:tcPr>
          <w:p w:rsidR="00F43A36" w:rsidRDefault="00061A8A">
            <w:pPr>
              <w:jc w:val="center"/>
              <w:rPr>
                <w:rFonts w:ascii="宋体" w:hAnsi="宋体" w:cs="宋体"/>
                <w:color w:val="000000"/>
                <w:sz w:val="20"/>
                <w:szCs w:val="20"/>
              </w:rPr>
            </w:pPr>
            <w:r>
              <w:rPr>
                <w:rFonts w:ascii="宋体" w:hAnsi="宋体" w:cs="宋体" w:hint="eastAsia"/>
                <w:color w:val="000000"/>
                <w:sz w:val="20"/>
                <w:szCs w:val="20"/>
              </w:rPr>
              <w:t xml:space="preserve">　</w:t>
            </w:r>
          </w:p>
        </w:tc>
      </w:tr>
      <w:tr w:rsidR="00F43A36">
        <w:trPr>
          <w:trHeight w:val="464"/>
        </w:trPr>
        <w:tc>
          <w:tcPr>
            <w:tcW w:w="914" w:type="dxa"/>
            <w:vMerge/>
            <w:tcBorders>
              <w:top w:val="nil"/>
              <w:left w:val="single" w:sz="4" w:space="0" w:color="auto"/>
              <w:bottom w:val="single" w:sz="4" w:space="0" w:color="auto"/>
              <w:right w:val="single" w:sz="4" w:space="0" w:color="auto"/>
            </w:tcBorders>
            <w:shd w:val="clear" w:color="auto" w:fill="auto"/>
            <w:vAlign w:val="center"/>
          </w:tcPr>
          <w:p w:rsidR="00F43A36" w:rsidRDefault="00F43A36">
            <w:pPr>
              <w:rPr>
                <w:rFonts w:ascii="宋体" w:hAnsi="宋体" w:cs="宋体"/>
                <w:color w:val="000000"/>
                <w:sz w:val="20"/>
                <w:szCs w:val="20"/>
              </w:rPr>
            </w:pPr>
          </w:p>
        </w:tc>
        <w:tc>
          <w:tcPr>
            <w:tcW w:w="3435" w:type="dxa"/>
            <w:gridSpan w:val="3"/>
            <w:tcBorders>
              <w:top w:val="single" w:sz="4" w:space="0" w:color="auto"/>
              <w:left w:val="nil"/>
              <w:bottom w:val="single" w:sz="4" w:space="0" w:color="auto"/>
              <w:right w:val="single" w:sz="4" w:space="0" w:color="auto"/>
            </w:tcBorders>
            <w:shd w:val="clear" w:color="auto" w:fill="auto"/>
            <w:vAlign w:val="center"/>
          </w:tcPr>
          <w:p w:rsidR="00F43A36" w:rsidRDefault="00061A8A">
            <w:pPr>
              <w:jc w:val="center"/>
              <w:rPr>
                <w:rFonts w:ascii="宋体" w:hAnsi="宋体" w:cs="宋体"/>
                <w:color w:val="000000"/>
                <w:sz w:val="20"/>
                <w:szCs w:val="20"/>
              </w:rPr>
            </w:pPr>
            <w:r>
              <w:rPr>
                <w:rFonts w:ascii="宋体" w:hAnsi="宋体" w:cs="宋体" w:hint="eastAsia"/>
                <w:color w:val="000000"/>
                <w:sz w:val="20"/>
                <w:szCs w:val="20"/>
              </w:rPr>
              <w:t xml:space="preserve">　</w:t>
            </w:r>
          </w:p>
        </w:tc>
        <w:tc>
          <w:tcPr>
            <w:tcW w:w="1456" w:type="dxa"/>
            <w:gridSpan w:val="2"/>
            <w:tcBorders>
              <w:top w:val="single" w:sz="4" w:space="0" w:color="auto"/>
              <w:left w:val="nil"/>
              <w:bottom w:val="single" w:sz="4" w:space="0" w:color="auto"/>
              <w:right w:val="single" w:sz="4" w:space="0" w:color="auto"/>
            </w:tcBorders>
            <w:shd w:val="clear" w:color="auto" w:fill="auto"/>
            <w:vAlign w:val="center"/>
          </w:tcPr>
          <w:p w:rsidR="00F43A36" w:rsidRDefault="00061A8A">
            <w:pPr>
              <w:jc w:val="center"/>
              <w:rPr>
                <w:rFonts w:ascii="宋体" w:hAnsi="宋体" w:cs="宋体"/>
                <w:color w:val="000000"/>
                <w:sz w:val="20"/>
                <w:szCs w:val="20"/>
              </w:rPr>
            </w:pPr>
            <w:r>
              <w:rPr>
                <w:rFonts w:ascii="宋体" w:hAnsi="宋体" w:cs="宋体" w:hint="eastAsia"/>
                <w:color w:val="000000"/>
                <w:sz w:val="20"/>
                <w:szCs w:val="20"/>
              </w:rPr>
              <w:t xml:space="preserve">　</w:t>
            </w:r>
          </w:p>
        </w:tc>
        <w:tc>
          <w:tcPr>
            <w:tcW w:w="1827" w:type="dxa"/>
            <w:gridSpan w:val="2"/>
            <w:tcBorders>
              <w:top w:val="single" w:sz="4" w:space="0" w:color="auto"/>
              <w:left w:val="nil"/>
              <w:bottom w:val="single" w:sz="4" w:space="0" w:color="auto"/>
              <w:right w:val="single" w:sz="4" w:space="0" w:color="auto"/>
            </w:tcBorders>
            <w:shd w:val="clear" w:color="auto" w:fill="auto"/>
            <w:vAlign w:val="center"/>
          </w:tcPr>
          <w:p w:rsidR="00F43A36" w:rsidRDefault="00061A8A">
            <w:pPr>
              <w:jc w:val="center"/>
              <w:rPr>
                <w:rFonts w:ascii="宋体" w:hAnsi="宋体" w:cs="宋体"/>
                <w:color w:val="000000"/>
                <w:sz w:val="20"/>
                <w:szCs w:val="20"/>
              </w:rPr>
            </w:pPr>
            <w:r>
              <w:rPr>
                <w:rFonts w:ascii="宋体" w:hAnsi="宋体" w:cs="宋体" w:hint="eastAsia"/>
                <w:color w:val="000000"/>
                <w:sz w:val="20"/>
                <w:szCs w:val="20"/>
              </w:rPr>
              <w:t xml:space="preserve">　</w:t>
            </w:r>
          </w:p>
        </w:tc>
        <w:tc>
          <w:tcPr>
            <w:tcW w:w="1388" w:type="dxa"/>
            <w:tcBorders>
              <w:top w:val="nil"/>
              <w:left w:val="nil"/>
              <w:bottom w:val="single" w:sz="4" w:space="0" w:color="auto"/>
              <w:right w:val="single" w:sz="4" w:space="0" w:color="auto"/>
            </w:tcBorders>
            <w:shd w:val="clear" w:color="auto" w:fill="auto"/>
            <w:vAlign w:val="center"/>
          </w:tcPr>
          <w:p w:rsidR="00F43A36" w:rsidRDefault="00061A8A">
            <w:pPr>
              <w:jc w:val="center"/>
              <w:rPr>
                <w:rFonts w:ascii="宋体" w:hAnsi="宋体" w:cs="宋体"/>
                <w:color w:val="000000"/>
                <w:sz w:val="20"/>
                <w:szCs w:val="20"/>
              </w:rPr>
            </w:pPr>
            <w:r>
              <w:rPr>
                <w:rFonts w:ascii="宋体" w:hAnsi="宋体" w:cs="宋体" w:hint="eastAsia"/>
                <w:color w:val="000000"/>
                <w:sz w:val="20"/>
                <w:szCs w:val="20"/>
              </w:rPr>
              <w:t xml:space="preserve">　</w:t>
            </w:r>
          </w:p>
        </w:tc>
      </w:tr>
      <w:tr w:rsidR="00F43A36">
        <w:trPr>
          <w:trHeight w:val="464"/>
        </w:trPr>
        <w:tc>
          <w:tcPr>
            <w:tcW w:w="914" w:type="dxa"/>
            <w:vMerge/>
            <w:tcBorders>
              <w:top w:val="nil"/>
              <w:left w:val="single" w:sz="4" w:space="0" w:color="auto"/>
              <w:bottom w:val="single" w:sz="4" w:space="0" w:color="auto"/>
              <w:right w:val="single" w:sz="4" w:space="0" w:color="auto"/>
            </w:tcBorders>
            <w:shd w:val="clear" w:color="auto" w:fill="auto"/>
            <w:vAlign w:val="center"/>
          </w:tcPr>
          <w:p w:rsidR="00F43A36" w:rsidRDefault="00F43A36">
            <w:pPr>
              <w:rPr>
                <w:rFonts w:ascii="宋体" w:hAnsi="宋体" w:cs="宋体"/>
                <w:color w:val="000000"/>
                <w:sz w:val="20"/>
                <w:szCs w:val="20"/>
              </w:rPr>
            </w:pPr>
          </w:p>
        </w:tc>
        <w:tc>
          <w:tcPr>
            <w:tcW w:w="3435" w:type="dxa"/>
            <w:gridSpan w:val="3"/>
            <w:tcBorders>
              <w:top w:val="single" w:sz="4" w:space="0" w:color="auto"/>
              <w:left w:val="nil"/>
              <w:bottom w:val="single" w:sz="4" w:space="0" w:color="auto"/>
              <w:right w:val="single" w:sz="4" w:space="0" w:color="auto"/>
            </w:tcBorders>
            <w:shd w:val="clear" w:color="auto" w:fill="auto"/>
            <w:vAlign w:val="center"/>
          </w:tcPr>
          <w:p w:rsidR="00F43A36" w:rsidRDefault="00061A8A">
            <w:pPr>
              <w:jc w:val="center"/>
              <w:rPr>
                <w:rFonts w:ascii="宋体" w:hAnsi="宋体" w:cs="宋体"/>
                <w:color w:val="000000"/>
                <w:sz w:val="20"/>
                <w:szCs w:val="20"/>
              </w:rPr>
            </w:pPr>
            <w:r>
              <w:rPr>
                <w:rFonts w:ascii="宋体" w:hAnsi="宋体" w:cs="宋体" w:hint="eastAsia"/>
                <w:color w:val="000000"/>
                <w:sz w:val="20"/>
                <w:szCs w:val="20"/>
              </w:rPr>
              <w:t xml:space="preserve">　</w:t>
            </w:r>
          </w:p>
        </w:tc>
        <w:tc>
          <w:tcPr>
            <w:tcW w:w="1456" w:type="dxa"/>
            <w:gridSpan w:val="2"/>
            <w:tcBorders>
              <w:top w:val="single" w:sz="4" w:space="0" w:color="auto"/>
              <w:left w:val="nil"/>
              <w:bottom w:val="single" w:sz="4" w:space="0" w:color="auto"/>
              <w:right w:val="single" w:sz="4" w:space="0" w:color="auto"/>
            </w:tcBorders>
            <w:shd w:val="clear" w:color="auto" w:fill="auto"/>
            <w:vAlign w:val="center"/>
          </w:tcPr>
          <w:p w:rsidR="00F43A36" w:rsidRDefault="00061A8A">
            <w:pPr>
              <w:jc w:val="center"/>
              <w:rPr>
                <w:rFonts w:ascii="宋体" w:hAnsi="宋体" w:cs="宋体"/>
                <w:color w:val="000000"/>
                <w:sz w:val="20"/>
                <w:szCs w:val="20"/>
              </w:rPr>
            </w:pPr>
            <w:r>
              <w:rPr>
                <w:rFonts w:ascii="宋体" w:hAnsi="宋体" w:cs="宋体" w:hint="eastAsia"/>
                <w:color w:val="000000"/>
                <w:sz w:val="20"/>
                <w:szCs w:val="20"/>
              </w:rPr>
              <w:t xml:space="preserve">　</w:t>
            </w:r>
          </w:p>
        </w:tc>
        <w:tc>
          <w:tcPr>
            <w:tcW w:w="1827" w:type="dxa"/>
            <w:gridSpan w:val="2"/>
            <w:tcBorders>
              <w:top w:val="single" w:sz="4" w:space="0" w:color="auto"/>
              <w:left w:val="nil"/>
              <w:bottom w:val="single" w:sz="4" w:space="0" w:color="auto"/>
              <w:right w:val="single" w:sz="4" w:space="0" w:color="auto"/>
            </w:tcBorders>
            <w:shd w:val="clear" w:color="auto" w:fill="auto"/>
            <w:vAlign w:val="center"/>
          </w:tcPr>
          <w:p w:rsidR="00F43A36" w:rsidRDefault="00061A8A">
            <w:pPr>
              <w:jc w:val="center"/>
              <w:rPr>
                <w:rFonts w:ascii="宋体" w:hAnsi="宋体" w:cs="宋体"/>
                <w:color w:val="000000"/>
                <w:sz w:val="20"/>
                <w:szCs w:val="20"/>
              </w:rPr>
            </w:pPr>
            <w:r>
              <w:rPr>
                <w:rFonts w:ascii="宋体" w:hAnsi="宋体" w:cs="宋体" w:hint="eastAsia"/>
                <w:color w:val="000000"/>
                <w:sz w:val="20"/>
                <w:szCs w:val="20"/>
              </w:rPr>
              <w:t xml:space="preserve">　</w:t>
            </w:r>
          </w:p>
        </w:tc>
        <w:tc>
          <w:tcPr>
            <w:tcW w:w="1388" w:type="dxa"/>
            <w:tcBorders>
              <w:top w:val="nil"/>
              <w:left w:val="nil"/>
              <w:bottom w:val="single" w:sz="4" w:space="0" w:color="auto"/>
              <w:right w:val="single" w:sz="4" w:space="0" w:color="auto"/>
            </w:tcBorders>
            <w:shd w:val="clear" w:color="auto" w:fill="auto"/>
            <w:vAlign w:val="center"/>
          </w:tcPr>
          <w:p w:rsidR="00F43A36" w:rsidRDefault="00061A8A">
            <w:pPr>
              <w:jc w:val="center"/>
              <w:rPr>
                <w:rFonts w:ascii="宋体" w:hAnsi="宋体" w:cs="宋体"/>
                <w:color w:val="000000"/>
                <w:sz w:val="20"/>
                <w:szCs w:val="20"/>
              </w:rPr>
            </w:pPr>
            <w:r>
              <w:rPr>
                <w:rFonts w:ascii="宋体" w:hAnsi="宋体" w:cs="宋体" w:hint="eastAsia"/>
                <w:color w:val="000000"/>
                <w:sz w:val="20"/>
                <w:szCs w:val="20"/>
              </w:rPr>
              <w:t xml:space="preserve">　</w:t>
            </w:r>
          </w:p>
        </w:tc>
      </w:tr>
      <w:tr w:rsidR="00F43A36">
        <w:trPr>
          <w:trHeight w:val="315"/>
        </w:trPr>
        <w:tc>
          <w:tcPr>
            <w:tcW w:w="914" w:type="dxa"/>
            <w:tcBorders>
              <w:top w:val="nil"/>
              <w:left w:val="nil"/>
              <w:bottom w:val="nil"/>
              <w:right w:val="nil"/>
            </w:tcBorders>
            <w:shd w:val="clear" w:color="auto" w:fill="auto"/>
            <w:vAlign w:val="center"/>
          </w:tcPr>
          <w:p w:rsidR="00F43A36" w:rsidRDefault="00061A8A">
            <w:pPr>
              <w:rPr>
                <w:rFonts w:ascii="宋体" w:hAnsi="宋体" w:cs="宋体"/>
                <w:color w:val="000000"/>
                <w:sz w:val="22"/>
              </w:rPr>
            </w:pPr>
            <w:r>
              <w:rPr>
                <w:rFonts w:ascii="宋体" w:hAnsi="宋体" w:cs="宋体" w:hint="eastAsia"/>
                <w:color w:val="000000"/>
                <w:sz w:val="22"/>
              </w:rPr>
              <w:t>填报人：</w:t>
            </w:r>
          </w:p>
        </w:tc>
        <w:tc>
          <w:tcPr>
            <w:tcW w:w="1303" w:type="dxa"/>
            <w:tcBorders>
              <w:top w:val="nil"/>
              <w:left w:val="nil"/>
              <w:bottom w:val="nil"/>
              <w:right w:val="nil"/>
            </w:tcBorders>
            <w:shd w:val="clear" w:color="auto" w:fill="auto"/>
            <w:vAlign w:val="center"/>
          </w:tcPr>
          <w:p w:rsidR="00F43A36" w:rsidRDefault="00F43A36">
            <w:pPr>
              <w:rPr>
                <w:rFonts w:ascii="宋体" w:hAnsi="宋体" w:cs="宋体"/>
                <w:color w:val="000000"/>
                <w:sz w:val="22"/>
              </w:rPr>
            </w:pPr>
          </w:p>
        </w:tc>
        <w:tc>
          <w:tcPr>
            <w:tcW w:w="1591" w:type="dxa"/>
            <w:tcBorders>
              <w:top w:val="nil"/>
              <w:left w:val="nil"/>
              <w:bottom w:val="nil"/>
              <w:right w:val="nil"/>
            </w:tcBorders>
            <w:shd w:val="clear" w:color="auto" w:fill="auto"/>
            <w:vAlign w:val="center"/>
          </w:tcPr>
          <w:p w:rsidR="00F43A36" w:rsidRDefault="00F43A36">
            <w:pPr>
              <w:rPr>
                <w:rFonts w:ascii="宋体" w:hAnsi="宋体" w:cs="宋体"/>
                <w:color w:val="000000"/>
                <w:sz w:val="22"/>
              </w:rPr>
            </w:pPr>
          </w:p>
        </w:tc>
        <w:tc>
          <w:tcPr>
            <w:tcW w:w="541" w:type="dxa"/>
            <w:tcBorders>
              <w:top w:val="nil"/>
              <w:left w:val="nil"/>
              <w:bottom w:val="nil"/>
              <w:right w:val="nil"/>
            </w:tcBorders>
            <w:shd w:val="clear" w:color="auto" w:fill="auto"/>
            <w:vAlign w:val="center"/>
          </w:tcPr>
          <w:p w:rsidR="00F43A36" w:rsidRDefault="00F43A36">
            <w:pPr>
              <w:rPr>
                <w:rFonts w:ascii="宋体" w:hAnsi="宋体" w:cs="宋体"/>
                <w:color w:val="000000"/>
                <w:sz w:val="22"/>
              </w:rPr>
            </w:pPr>
          </w:p>
        </w:tc>
        <w:tc>
          <w:tcPr>
            <w:tcW w:w="541" w:type="dxa"/>
            <w:tcBorders>
              <w:top w:val="nil"/>
              <w:left w:val="nil"/>
              <w:bottom w:val="nil"/>
              <w:right w:val="nil"/>
            </w:tcBorders>
            <w:shd w:val="clear" w:color="auto" w:fill="auto"/>
            <w:vAlign w:val="center"/>
          </w:tcPr>
          <w:p w:rsidR="00F43A36" w:rsidRDefault="00F43A36">
            <w:pPr>
              <w:rPr>
                <w:rFonts w:ascii="宋体" w:hAnsi="宋体" w:cs="宋体"/>
                <w:color w:val="000000"/>
                <w:sz w:val="22"/>
              </w:rPr>
            </w:pPr>
          </w:p>
        </w:tc>
        <w:tc>
          <w:tcPr>
            <w:tcW w:w="915" w:type="dxa"/>
            <w:tcBorders>
              <w:top w:val="nil"/>
              <w:left w:val="nil"/>
              <w:bottom w:val="nil"/>
              <w:right w:val="nil"/>
            </w:tcBorders>
            <w:shd w:val="clear" w:color="auto" w:fill="auto"/>
            <w:vAlign w:val="center"/>
          </w:tcPr>
          <w:p w:rsidR="00F43A36" w:rsidRDefault="00061A8A">
            <w:pPr>
              <w:rPr>
                <w:rFonts w:ascii="宋体" w:hAnsi="宋体" w:cs="宋体"/>
                <w:color w:val="000000"/>
                <w:sz w:val="22"/>
              </w:rPr>
            </w:pPr>
            <w:r>
              <w:rPr>
                <w:rFonts w:ascii="宋体" w:hAnsi="宋体" w:cs="宋体" w:hint="eastAsia"/>
                <w:color w:val="000000"/>
                <w:sz w:val="22"/>
              </w:rPr>
              <w:t>负责人：</w:t>
            </w:r>
          </w:p>
        </w:tc>
        <w:tc>
          <w:tcPr>
            <w:tcW w:w="914" w:type="dxa"/>
            <w:tcBorders>
              <w:top w:val="nil"/>
              <w:left w:val="nil"/>
              <w:bottom w:val="nil"/>
              <w:right w:val="nil"/>
            </w:tcBorders>
            <w:shd w:val="clear" w:color="auto" w:fill="auto"/>
            <w:vAlign w:val="center"/>
          </w:tcPr>
          <w:p w:rsidR="00F43A36" w:rsidRDefault="00F43A36">
            <w:pPr>
              <w:rPr>
                <w:rFonts w:ascii="宋体" w:hAnsi="宋体" w:cs="宋体"/>
                <w:color w:val="000000"/>
                <w:sz w:val="22"/>
              </w:rPr>
            </w:pPr>
          </w:p>
        </w:tc>
        <w:tc>
          <w:tcPr>
            <w:tcW w:w="913" w:type="dxa"/>
            <w:tcBorders>
              <w:top w:val="nil"/>
              <w:left w:val="nil"/>
              <w:bottom w:val="nil"/>
              <w:right w:val="nil"/>
            </w:tcBorders>
            <w:shd w:val="clear" w:color="auto" w:fill="auto"/>
            <w:vAlign w:val="center"/>
          </w:tcPr>
          <w:p w:rsidR="00F43A36" w:rsidRDefault="00F43A36">
            <w:pPr>
              <w:rPr>
                <w:rFonts w:ascii="宋体" w:hAnsi="宋体" w:cs="宋体"/>
                <w:color w:val="000000"/>
                <w:sz w:val="22"/>
              </w:rPr>
            </w:pPr>
          </w:p>
        </w:tc>
        <w:tc>
          <w:tcPr>
            <w:tcW w:w="1388" w:type="dxa"/>
            <w:tcBorders>
              <w:top w:val="nil"/>
              <w:left w:val="nil"/>
              <w:bottom w:val="nil"/>
              <w:right w:val="nil"/>
            </w:tcBorders>
            <w:shd w:val="clear" w:color="auto" w:fill="auto"/>
            <w:vAlign w:val="center"/>
          </w:tcPr>
          <w:p w:rsidR="00F43A36" w:rsidRDefault="00F43A36">
            <w:pPr>
              <w:rPr>
                <w:rFonts w:ascii="宋体" w:hAnsi="宋体" w:cs="宋体"/>
                <w:color w:val="000000"/>
                <w:sz w:val="22"/>
              </w:rPr>
            </w:pPr>
          </w:p>
        </w:tc>
      </w:tr>
    </w:tbl>
    <w:p w:rsidR="00F43A36" w:rsidRDefault="00F43A36">
      <w:pPr>
        <w:ind w:left="180" w:right="-595"/>
        <w:rPr>
          <w:rFonts w:ascii="宋体" w:hAnsi="宋体"/>
          <w:sz w:val="20"/>
          <w:szCs w:val="20"/>
        </w:rPr>
      </w:pPr>
    </w:p>
    <w:p w:rsidR="00F43A36" w:rsidRDefault="00F43A36">
      <w:pPr>
        <w:sectPr w:rsidR="00F43A36">
          <w:footerReference w:type="default" r:id="rId8"/>
          <w:pgSz w:w="11906" w:h="16838"/>
          <w:pgMar w:top="1440" w:right="1800" w:bottom="1440" w:left="1800" w:header="851" w:footer="992" w:gutter="0"/>
          <w:cols w:space="425"/>
          <w:docGrid w:type="lines" w:linePitch="312"/>
        </w:sectPr>
      </w:pPr>
    </w:p>
    <w:tbl>
      <w:tblPr>
        <w:tblW w:w="14698" w:type="dxa"/>
        <w:tblLayout w:type="fixed"/>
        <w:tblCellMar>
          <w:top w:w="15" w:type="dxa"/>
          <w:left w:w="15" w:type="dxa"/>
          <w:bottom w:w="15" w:type="dxa"/>
          <w:right w:w="15" w:type="dxa"/>
        </w:tblCellMar>
        <w:tblLook w:val="04A0" w:firstRow="1" w:lastRow="0" w:firstColumn="1" w:lastColumn="0" w:noHBand="0" w:noVBand="1"/>
      </w:tblPr>
      <w:tblGrid>
        <w:gridCol w:w="1215"/>
        <w:gridCol w:w="2055"/>
        <w:gridCol w:w="1035"/>
        <w:gridCol w:w="1560"/>
        <w:gridCol w:w="1612"/>
        <w:gridCol w:w="1612"/>
        <w:gridCol w:w="1320"/>
        <w:gridCol w:w="1612"/>
        <w:gridCol w:w="1612"/>
        <w:gridCol w:w="1065"/>
      </w:tblGrid>
      <w:tr w:rsidR="00F43A36">
        <w:trPr>
          <w:trHeight w:val="286"/>
        </w:trPr>
        <w:tc>
          <w:tcPr>
            <w:tcW w:w="1215" w:type="dxa"/>
            <w:shd w:val="clear" w:color="auto" w:fill="auto"/>
            <w:vAlign w:val="center"/>
          </w:tcPr>
          <w:p w:rsidR="00F43A36" w:rsidRDefault="00061A8A">
            <w:pPr>
              <w:widowControl/>
              <w:jc w:val="left"/>
              <w:textAlignment w:val="center"/>
              <w:rPr>
                <w:rFonts w:ascii="等线" w:eastAsia="等线" w:hAnsi="等线" w:cs="等线"/>
                <w:color w:val="000000"/>
                <w:sz w:val="22"/>
              </w:rPr>
            </w:pPr>
            <w:r>
              <w:rPr>
                <w:rFonts w:ascii="等线" w:eastAsia="等线" w:hAnsi="等线" w:cs="等线" w:hint="eastAsia"/>
                <w:color w:val="000000"/>
                <w:kern w:val="0"/>
                <w:sz w:val="22"/>
                <w:lang w:bidi="ar"/>
              </w:rPr>
              <w:lastRenderedPageBreak/>
              <w:t>附件3-1</w:t>
            </w:r>
          </w:p>
        </w:tc>
        <w:tc>
          <w:tcPr>
            <w:tcW w:w="2055" w:type="dxa"/>
            <w:shd w:val="clear" w:color="auto" w:fill="auto"/>
            <w:vAlign w:val="bottom"/>
          </w:tcPr>
          <w:p w:rsidR="00F43A36" w:rsidRDefault="00F43A36">
            <w:pPr>
              <w:rPr>
                <w:rFonts w:ascii="等线" w:eastAsia="等线" w:hAnsi="等线" w:cs="等线"/>
                <w:color w:val="000000"/>
                <w:sz w:val="22"/>
              </w:rPr>
            </w:pPr>
          </w:p>
        </w:tc>
        <w:tc>
          <w:tcPr>
            <w:tcW w:w="1035" w:type="dxa"/>
            <w:shd w:val="clear" w:color="auto" w:fill="auto"/>
            <w:vAlign w:val="bottom"/>
          </w:tcPr>
          <w:p w:rsidR="00F43A36" w:rsidRDefault="00F43A36">
            <w:pPr>
              <w:rPr>
                <w:rFonts w:ascii="等线" w:eastAsia="等线" w:hAnsi="等线" w:cs="等线"/>
                <w:color w:val="000000"/>
                <w:sz w:val="22"/>
              </w:rPr>
            </w:pPr>
          </w:p>
        </w:tc>
        <w:tc>
          <w:tcPr>
            <w:tcW w:w="1560" w:type="dxa"/>
            <w:shd w:val="clear" w:color="auto" w:fill="auto"/>
            <w:vAlign w:val="bottom"/>
          </w:tcPr>
          <w:p w:rsidR="00F43A36" w:rsidRDefault="00F43A36">
            <w:pPr>
              <w:rPr>
                <w:rFonts w:ascii="等线" w:eastAsia="等线" w:hAnsi="等线" w:cs="等线"/>
                <w:color w:val="000000"/>
                <w:sz w:val="22"/>
              </w:rPr>
            </w:pPr>
          </w:p>
        </w:tc>
        <w:tc>
          <w:tcPr>
            <w:tcW w:w="1612" w:type="dxa"/>
            <w:shd w:val="clear" w:color="auto" w:fill="auto"/>
            <w:vAlign w:val="bottom"/>
          </w:tcPr>
          <w:p w:rsidR="00F43A36" w:rsidRDefault="00F43A36">
            <w:pPr>
              <w:rPr>
                <w:rFonts w:ascii="等线" w:eastAsia="等线" w:hAnsi="等线" w:cs="等线"/>
                <w:color w:val="000000"/>
                <w:sz w:val="22"/>
              </w:rPr>
            </w:pPr>
          </w:p>
        </w:tc>
        <w:tc>
          <w:tcPr>
            <w:tcW w:w="1612" w:type="dxa"/>
            <w:shd w:val="clear" w:color="auto" w:fill="auto"/>
            <w:vAlign w:val="bottom"/>
          </w:tcPr>
          <w:p w:rsidR="00F43A36" w:rsidRDefault="00F43A36">
            <w:pPr>
              <w:rPr>
                <w:rFonts w:ascii="等线" w:eastAsia="等线" w:hAnsi="等线" w:cs="等线"/>
                <w:color w:val="000000"/>
                <w:sz w:val="22"/>
              </w:rPr>
            </w:pPr>
          </w:p>
        </w:tc>
        <w:tc>
          <w:tcPr>
            <w:tcW w:w="1320" w:type="dxa"/>
            <w:shd w:val="clear" w:color="auto" w:fill="auto"/>
            <w:vAlign w:val="bottom"/>
          </w:tcPr>
          <w:p w:rsidR="00F43A36" w:rsidRDefault="00F43A36">
            <w:pPr>
              <w:rPr>
                <w:rFonts w:ascii="等线" w:eastAsia="等线" w:hAnsi="等线" w:cs="等线"/>
                <w:color w:val="000000"/>
                <w:sz w:val="22"/>
              </w:rPr>
            </w:pPr>
          </w:p>
        </w:tc>
        <w:tc>
          <w:tcPr>
            <w:tcW w:w="1612" w:type="dxa"/>
            <w:shd w:val="clear" w:color="auto" w:fill="auto"/>
            <w:vAlign w:val="bottom"/>
          </w:tcPr>
          <w:p w:rsidR="00F43A36" w:rsidRDefault="00F43A36">
            <w:pPr>
              <w:rPr>
                <w:rFonts w:ascii="等线" w:eastAsia="等线" w:hAnsi="等线" w:cs="等线"/>
                <w:color w:val="000000"/>
                <w:sz w:val="22"/>
              </w:rPr>
            </w:pPr>
          </w:p>
        </w:tc>
        <w:tc>
          <w:tcPr>
            <w:tcW w:w="1612" w:type="dxa"/>
            <w:shd w:val="clear" w:color="auto" w:fill="auto"/>
            <w:vAlign w:val="bottom"/>
          </w:tcPr>
          <w:p w:rsidR="00F43A36" w:rsidRDefault="00F43A36">
            <w:pPr>
              <w:rPr>
                <w:rFonts w:ascii="等线" w:eastAsia="等线" w:hAnsi="等线" w:cs="等线"/>
                <w:color w:val="000000"/>
                <w:sz w:val="22"/>
              </w:rPr>
            </w:pPr>
          </w:p>
        </w:tc>
        <w:tc>
          <w:tcPr>
            <w:tcW w:w="1065" w:type="dxa"/>
            <w:shd w:val="clear" w:color="auto" w:fill="auto"/>
            <w:vAlign w:val="bottom"/>
          </w:tcPr>
          <w:p w:rsidR="00F43A36" w:rsidRDefault="00F43A36">
            <w:pPr>
              <w:rPr>
                <w:rFonts w:ascii="等线" w:eastAsia="等线" w:hAnsi="等线" w:cs="等线"/>
                <w:color w:val="000000"/>
                <w:sz w:val="22"/>
              </w:rPr>
            </w:pPr>
          </w:p>
        </w:tc>
      </w:tr>
      <w:tr w:rsidR="00F43A36">
        <w:trPr>
          <w:trHeight w:val="405"/>
        </w:trPr>
        <w:tc>
          <w:tcPr>
            <w:tcW w:w="14698" w:type="dxa"/>
            <w:gridSpan w:val="10"/>
            <w:shd w:val="clear" w:color="auto" w:fill="auto"/>
            <w:vAlign w:val="center"/>
          </w:tcPr>
          <w:p w:rsidR="00F43A36" w:rsidRDefault="00061A8A">
            <w:pPr>
              <w:widowControl/>
              <w:jc w:val="center"/>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lang w:bidi="ar"/>
              </w:rPr>
              <w:t>关联自然人信息汇总表</w:t>
            </w:r>
          </w:p>
        </w:tc>
      </w:tr>
      <w:tr w:rsidR="00F43A36">
        <w:trPr>
          <w:trHeight w:val="286"/>
        </w:trPr>
        <w:tc>
          <w:tcPr>
            <w:tcW w:w="1215" w:type="dxa"/>
            <w:shd w:val="clear" w:color="auto" w:fill="auto"/>
            <w:vAlign w:val="center"/>
          </w:tcPr>
          <w:p w:rsidR="00F43A36" w:rsidRDefault="00061A8A">
            <w:pPr>
              <w:widowControl/>
              <w:jc w:val="left"/>
              <w:textAlignment w:val="center"/>
              <w:rPr>
                <w:rFonts w:ascii="等线" w:eastAsia="等线" w:hAnsi="等线" w:cs="等线"/>
                <w:color w:val="000000"/>
                <w:sz w:val="22"/>
              </w:rPr>
            </w:pPr>
            <w:r>
              <w:rPr>
                <w:rFonts w:ascii="等线" w:eastAsia="等线" w:hAnsi="等线" w:cs="等线" w:hint="eastAsia"/>
                <w:color w:val="000000"/>
                <w:kern w:val="0"/>
                <w:sz w:val="22"/>
                <w:lang w:bidi="ar"/>
              </w:rPr>
              <w:t>填报机构：</w:t>
            </w:r>
          </w:p>
        </w:tc>
        <w:tc>
          <w:tcPr>
            <w:tcW w:w="3090" w:type="dxa"/>
            <w:gridSpan w:val="2"/>
            <w:shd w:val="clear" w:color="auto" w:fill="auto"/>
            <w:vAlign w:val="center"/>
          </w:tcPr>
          <w:p w:rsidR="00F43A36" w:rsidRDefault="00F43A36">
            <w:pPr>
              <w:jc w:val="center"/>
              <w:rPr>
                <w:rFonts w:ascii="等线" w:eastAsia="等线" w:hAnsi="等线" w:cs="等线"/>
                <w:color w:val="000000"/>
                <w:sz w:val="22"/>
              </w:rPr>
            </w:pPr>
          </w:p>
        </w:tc>
        <w:tc>
          <w:tcPr>
            <w:tcW w:w="1560" w:type="dxa"/>
            <w:shd w:val="clear" w:color="auto" w:fill="auto"/>
            <w:vAlign w:val="center"/>
          </w:tcPr>
          <w:p w:rsidR="00F43A36" w:rsidRDefault="00061A8A">
            <w:pPr>
              <w:widowControl/>
              <w:jc w:val="left"/>
              <w:textAlignment w:val="center"/>
              <w:rPr>
                <w:rFonts w:ascii="等线" w:eastAsia="等线" w:hAnsi="等线" w:cs="等线"/>
                <w:color w:val="000000"/>
                <w:sz w:val="22"/>
              </w:rPr>
            </w:pPr>
            <w:r>
              <w:rPr>
                <w:rFonts w:ascii="等线" w:eastAsia="等线" w:hAnsi="等线" w:cs="等线" w:hint="eastAsia"/>
                <w:color w:val="000000"/>
                <w:kern w:val="0"/>
                <w:sz w:val="22"/>
                <w:lang w:bidi="ar"/>
              </w:rPr>
              <w:t>负责人签字：</w:t>
            </w:r>
          </w:p>
        </w:tc>
        <w:tc>
          <w:tcPr>
            <w:tcW w:w="3224" w:type="dxa"/>
            <w:gridSpan w:val="2"/>
            <w:shd w:val="clear" w:color="auto" w:fill="auto"/>
            <w:vAlign w:val="center"/>
          </w:tcPr>
          <w:p w:rsidR="00F43A36" w:rsidRDefault="00F43A36">
            <w:pPr>
              <w:jc w:val="center"/>
              <w:rPr>
                <w:rFonts w:ascii="等线" w:eastAsia="等线" w:hAnsi="等线" w:cs="等线"/>
                <w:color w:val="000000"/>
                <w:sz w:val="22"/>
              </w:rPr>
            </w:pPr>
          </w:p>
        </w:tc>
        <w:tc>
          <w:tcPr>
            <w:tcW w:w="1320" w:type="dxa"/>
            <w:shd w:val="clear" w:color="auto" w:fill="auto"/>
            <w:vAlign w:val="center"/>
          </w:tcPr>
          <w:p w:rsidR="00F43A36" w:rsidRDefault="00061A8A">
            <w:pPr>
              <w:widowControl/>
              <w:jc w:val="left"/>
              <w:textAlignment w:val="center"/>
              <w:rPr>
                <w:rFonts w:ascii="等线" w:eastAsia="等线" w:hAnsi="等线" w:cs="等线"/>
                <w:color w:val="000000"/>
                <w:sz w:val="22"/>
              </w:rPr>
            </w:pPr>
            <w:r>
              <w:rPr>
                <w:rFonts w:ascii="等线" w:eastAsia="等线" w:hAnsi="等线" w:cs="等线" w:hint="eastAsia"/>
                <w:color w:val="000000"/>
                <w:kern w:val="0"/>
                <w:sz w:val="22"/>
                <w:lang w:bidi="ar"/>
              </w:rPr>
              <w:t>填报时间：</w:t>
            </w:r>
          </w:p>
        </w:tc>
        <w:tc>
          <w:tcPr>
            <w:tcW w:w="3224" w:type="dxa"/>
            <w:gridSpan w:val="2"/>
            <w:shd w:val="clear" w:color="auto" w:fill="auto"/>
            <w:vAlign w:val="center"/>
          </w:tcPr>
          <w:p w:rsidR="00F43A36" w:rsidRDefault="00F43A36">
            <w:pPr>
              <w:jc w:val="center"/>
              <w:rPr>
                <w:rFonts w:ascii="等线" w:eastAsia="等线" w:hAnsi="等线" w:cs="等线"/>
                <w:color w:val="000000"/>
                <w:sz w:val="22"/>
              </w:rPr>
            </w:pPr>
          </w:p>
        </w:tc>
        <w:tc>
          <w:tcPr>
            <w:tcW w:w="1065" w:type="dxa"/>
            <w:shd w:val="clear" w:color="auto" w:fill="auto"/>
            <w:vAlign w:val="bottom"/>
          </w:tcPr>
          <w:p w:rsidR="00F43A36" w:rsidRDefault="00F43A36">
            <w:pPr>
              <w:rPr>
                <w:rFonts w:ascii="等线" w:eastAsia="等线" w:hAnsi="等线" w:cs="等线"/>
                <w:color w:val="000000"/>
                <w:sz w:val="22"/>
              </w:rPr>
            </w:pPr>
          </w:p>
        </w:tc>
      </w:tr>
      <w:tr w:rsidR="00F43A36">
        <w:trPr>
          <w:trHeight w:val="285"/>
        </w:trPr>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061A8A">
            <w:pPr>
              <w:widowControl/>
              <w:jc w:val="center"/>
              <w:textAlignment w:val="center"/>
              <w:rPr>
                <w:rFonts w:ascii="等线" w:eastAsia="等线" w:hAnsi="等线" w:cs="等线"/>
                <w:b/>
                <w:color w:val="000000"/>
                <w:sz w:val="22"/>
              </w:rPr>
            </w:pPr>
            <w:r>
              <w:rPr>
                <w:rFonts w:ascii="等线" w:eastAsia="等线" w:hAnsi="等线" w:cs="等线" w:hint="eastAsia"/>
                <w:b/>
                <w:color w:val="000000"/>
                <w:kern w:val="0"/>
                <w:sz w:val="22"/>
                <w:lang w:bidi="ar"/>
              </w:rPr>
              <w:t>序号</w:t>
            </w: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061A8A">
            <w:pPr>
              <w:widowControl/>
              <w:jc w:val="center"/>
              <w:textAlignment w:val="center"/>
              <w:rPr>
                <w:rFonts w:ascii="等线" w:eastAsia="等线" w:hAnsi="等线" w:cs="等线"/>
                <w:b/>
                <w:color w:val="000000"/>
                <w:sz w:val="22"/>
              </w:rPr>
            </w:pPr>
            <w:r>
              <w:rPr>
                <w:rFonts w:ascii="等线" w:eastAsia="等线" w:hAnsi="等线" w:cs="等线" w:hint="eastAsia"/>
                <w:b/>
                <w:color w:val="000000"/>
                <w:kern w:val="0"/>
                <w:sz w:val="22"/>
                <w:lang w:bidi="ar"/>
              </w:rPr>
              <w:t>关联方姓名</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061A8A">
            <w:pPr>
              <w:widowControl/>
              <w:jc w:val="center"/>
              <w:textAlignment w:val="center"/>
              <w:rPr>
                <w:rFonts w:ascii="等线" w:eastAsia="等线" w:hAnsi="等线" w:cs="等线"/>
                <w:b/>
                <w:color w:val="000000"/>
                <w:sz w:val="22"/>
              </w:rPr>
            </w:pPr>
            <w:r>
              <w:rPr>
                <w:rFonts w:ascii="等线" w:eastAsia="等线" w:hAnsi="等线" w:cs="等线" w:hint="eastAsia"/>
                <w:b/>
                <w:color w:val="000000"/>
                <w:kern w:val="0"/>
                <w:sz w:val="22"/>
                <w:lang w:bidi="ar"/>
              </w:rPr>
              <w:t>性别</w:t>
            </w:r>
          </w:p>
        </w:tc>
        <w:tc>
          <w:tcPr>
            <w:tcW w:w="478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061A8A">
            <w:pPr>
              <w:widowControl/>
              <w:jc w:val="center"/>
              <w:textAlignment w:val="center"/>
              <w:rPr>
                <w:rFonts w:ascii="等线" w:eastAsia="等线" w:hAnsi="等线" w:cs="等线"/>
                <w:b/>
                <w:color w:val="000000"/>
                <w:sz w:val="22"/>
              </w:rPr>
            </w:pPr>
            <w:r>
              <w:rPr>
                <w:rFonts w:ascii="等线" w:eastAsia="等线" w:hAnsi="等线" w:cs="等线" w:hint="eastAsia"/>
                <w:b/>
                <w:color w:val="000000"/>
                <w:kern w:val="0"/>
                <w:sz w:val="22"/>
                <w:lang w:bidi="ar"/>
              </w:rPr>
              <w:t>身份证件号码</w:t>
            </w:r>
          </w:p>
        </w:tc>
        <w:tc>
          <w:tcPr>
            <w:tcW w:w="454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061A8A">
            <w:pPr>
              <w:widowControl/>
              <w:jc w:val="center"/>
              <w:textAlignment w:val="center"/>
              <w:rPr>
                <w:rFonts w:ascii="等线" w:eastAsia="等线" w:hAnsi="等线" w:cs="等线"/>
                <w:b/>
                <w:color w:val="000000"/>
                <w:sz w:val="22"/>
              </w:rPr>
            </w:pPr>
            <w:r>
              <w:rPr>
                <w:rFonts w:ascii="等线" w:eastAsia="等线" w:hAnsi="等线" w:cs="等线" w:hint="eastAsia"/>
                <w:b/>
                <w:color w:val="000000"/>
                <w:kern w:val="0"/>
                <w:sz w:val="22"/>
                <w:lang w:bidi="ar"/>
              </w:rPr>
              <w:t>关联关系</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061A8A">
            <w:pPr>
              <w:widowControl/>
              <w:jc w:val="center"/>
              <w:textAlignment w:val="center"/>
              <w:rPr>
                <w:rFonts w:ascii="等线" w:eastAsia="等线" w:hAnsi="等线" w:cs="等线"/>
                <w:b/>
                <w:color w:val="000000"/>
                <w:sz w:val="22"/>
              </w:rPr>
            </w:pPr>
            <w:r>
              <w:rPr>
                <w:rFonts w:ascii="等线" w:eastAsia="等线" w:hAnsi="等线" w:cs="等线" w:hint="eastAsia"/>
                <w:b/>
                <w:color w:val="000000"/>
                <w:kern w:val="0"/>
                <w:sz w:val="22"/>
                <w:lang w:bidi="ar"/>
              </w:rPr>
              <w:t>备注</w:t>
            </w:r>
          </w:p>
        </w:tc>
      </w:tr>
      <w:tr w:rsidR="00F43A36">
        <w:trPr>
          <w:trHeight w:val="285"/>
        </w:trPr>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rPr>
                <w:rFonts w:ascii="等线" w:eastAsia="等线" w:hAnsi="等线" w:cs="等线"/>
                <w:color w:val="000000"/>
                <w:sz w:val="22"/>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rPr>
                <w:rFonts w:ascii="等线" w:eastAsia="等线" w:hAnsi="等线" w:cs="等线"/>
                <w:color w:val="000000"/>
                <w:sz w:val="22"/>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rPr>
                <w:rFonts w:ascii="等线" w:eastAsia="等线" w:hAnsi="等线" w:cs="等线"/>
                <w:color w:val="000000"/>
                <w:sz w:val="22"/>
              </w:rPr>
            </w:pPr>
          </w:p>
        </w:tc>
        <w:tc>
          <w:tcPr>
            <w:tcW w:w="478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等线" w:eastAsia="等线" w:hAnsi="等线" w:cs="等线"/>
                <w:color w:val="000000"/>
                <w:sz w:val="22"/>
              </w:rPr>
            </w:pPr>
          </w:p>
        </w:tc>
        <w:tc>
          <w:tcPr>
            <w:tcW w:w="454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等线" w:eastAsia="等线" w:hAnsi="等线" w:cs="等线"/>
                <w:color w:val="000000"/>
                <w:sz w:val="22"/>
              </w:rPr>
            </w:pP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rPr>
                <w:rFonts w:ascii="等线" w:eastAsia="等线" w:hAnsi="等线" w:cs="等线"/>
                <w:color w:val="000000"/>
                <w:sz w:val="22"/>
              </w:rPr>
            </w:pPr>
          </w:p>
        </w:tc>
      </w:tr>
      <w:tr w:rsidR="00F43A36">
        <w:trPr>
          <w:trHeight w:val="285"/>
        </w:trPr>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rPr>
                <w:rFonts w:ascii="等线" w:eastAsia="等线" w:hAnsi="等线" w:cs="等线"/>
                <w:color w:val="000000"/>
                <w:sz w:val="22"/>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rPr>
                <w:rFonts w:ascii="等线" w:eastAsia="等线" w:hAnsi="等线" w:cs="等线"/>
                <w:color w:val="000000"/>
                <w:sz w:val="22"/>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rPr>
                <w:rFonts w:ascii="等线" w:eastAsia="等线" w:hAnsi="等线" w:cs="等线"/>
                <w:color w:val="000000"/>
                <w:sz w:val="22"/>
              </w:rPr>
            </w:pPr>
          </w:p>
        </w:tc>
        <w:tc>
          <w:tcPr>
            <w:tcW w:w="478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等线" w:eastAsia="等线" w:hAnsi="等线" w:cs="等线"/>
                <w:color w:val="000000"/>
                <w:sz w:val="22"/>
              </w:rPr>
            </w:pPr>
          </w:p>
        </w:tc>
        <w:tc>
          <w:tcPr>
            <w:tcW w:w="454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等线" w:eastAsia="等线" w:hAnsi="等线" w:cs="等线"/>
                <w:color w:val="000000"/>
                <w:sz w:val="22"/>
              </w:rPr>
            </w:pP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rPr>
                <w:rFonts w:ascii="等线" w:eastAsia="等线" w:hAnsi="等线" w:cs="等线"/>
                <w:color w:val="000000"/>
                <w:sz w:val="22"/>
              </w:rPr>
            </w:pPr>
          </w:p>
        </w:tc>
      </w:tr>
      <w:tr w:rsidR="00F43A36">
        <w:trPr>
          <w:trHeight w:val="285"/>
        </w:trPr>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rPr>
                <w:rFonts w:ascii="等线" w:eastAsia="等线" w:hAnsi="等线" w:cs="等线"/>
                <w:color w:val="000000"/>
                <w:sz w:val="22"/>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rPr>
                <w:rFonts w:ascii="等线" w:eastAsia="等线" w:hAnsi="等线" w:cs="等线"/>
                <w:color w:val="000000"/>
                <w:sz w:val="22"/>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rPr>
                <w:rFonts w:ascii="等线" w:eastAsia="等线" w:hAnsi="等线" w:cs="等线"/>
                <w:color w:val="000000"/>
                <w:sz w:val="22"/>
              </w:rPr>
            </w:pPr>
          </w:p>
        </w:tc>
        <w:tc>
          <w:tcPr>
            <w:tcW w:w="478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等线" w:eastAsia="等线" w:hAnsi="等线" w:cs="等线"/>
                <w:color w:val="000000"/>
                <w:sz w:val="22"/>
              </w:rPr>
            </w:pPr>
          </w:p>
        </w:tc>
        <w:tc>
          <w:tcPr>
            <w:tcW w:w="454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等线" w:eastAsia="等线" w:hAnsi="等线" w:cs="等线"/>
                <w:color w:val="000000"/>
                <w:sz w:val="22"/>
              </w:rPr>
            </w:pP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rPr>
                <w:rFonts w:ascii="等线" w:eastAsia="等线" w:hAnsi="等线" w:cs="等线"/>
                <w:color w:val="000000"/>
                <w:sz w:val="22"/>
              </w:rPr>
            </w:pPr>
          </w:p>
        </w:tc>
      </w:tr>
      <w:tr w:rsidR="00F43A36">
        <w:trPr>
          <w:trHeight w:val="285"/>
        </w:trPr>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rPr>
                <w:rFonts w:ascii="等线" w:eastAsia="等线" w:hAnsi="等线" w:cs="等线"/>
                <w:color w:val="000000"/>
                <w:sz w:val="22"/>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rPr>
                <w:rFonts w:ascii="等线" w:eastAsia="等线" w:hAnsi="等线" w:cs="等线"/>
                <w:color w:val="000000"/>
                <w:sz w:val="22"/>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rPr>
                <w:rFonts w:ascii="等线" w:eastAsia="等线" w:hAnsi="等线" w:cs="等线"/>
                <w:color w:val="000000"/>
                <w:sz w:val="22"/>
              </w:rPr>
            </w:pPr>
          </w:p>
        </w:tc>
        <w:tc>
          <w:tcPr>
            <w:tcW w:w="478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等线" w:eastAsia="等线" w:hAnsi="等线" w:cs="等线"/>
                <w:color w:val="000000"/>
                <w:sz w:val="22"/>
              </w:rPr>
            </w:pPr>
          </w:p>
        </w:tc>
        <w:tc>
          <w:tcPr>
            <w:tcW w:w="454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等线" w:eastAsia="等线" w:hAnsi="等线" w:cs="等线"/>
                <w:color w:val="000000"/>
                <w:sz w:val="22"/>
              </w:rPr>
            </w:pP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rPr>
                <w:rFonts w:ascii="等线" w:eastAsia="等线" w:hAnsi="等线" w:cs="等线"/>
                <w:color w:val="000000"/>
                <w:sz w:val="22"/>
              </w:rPr>
            </w:pPr>
          </w:p>
        </w:tc>
      </w:tr>
      <w:tr w:rsidR="00F43A36">
        <w:trPr>
          <w:trHeight w:val="285"/>
        </w:trPr>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rPr>
                <w:rFonts w:ascii="等线" w:eastAsia="等线" w:hAnsi="等线" w:cs="等线"/>
                <w:color w:val="000000"/>
                <w:sz w:val="22"/>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rPr>
                <w:rFonts w:ascii="等线" w:eastAsia="等线" w:hAnsi="等线" w:cs="等线"/>
                <w:color w:val="000000"/>
                <w:sz w:val="22"/>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rPr>
                <w:rFonts w:ascii="等线" w:eastAsia="等线" w:hAnsi="等线" w:cs="等线"/>
                <w:color w:val="000000"/>
                <w:sz w:val="22"/>
              </w:rPr>
            </w:pPr>
          </w:p>
        </w:tc>
        <w:tc>
          <w:tcPr>
            <w:tcW w:w="478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等线" w:eastAsia="等线" w:hAnsi="等线" w:cs="等线"/>
                <w:color w:val="000000"/>
                <w:sz w:val="22"/>
              </w:rPr>
            </w:pPr>
          </w:p>
        </w:tc>
        <w:tc>
          <w:tcPr>
            <w:tcW w:w="454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等线" w:eastAsia="等线" w:hAnsi="等线" w:cs="等线"/>
                <w:color w:val="000000"/>
                <w:sz w:val="22"/>
              </w:rPr>
            </w:pP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rPr>
                <w:rFonts w:ascii="等线" w:eastAsia="等线" w:hAnsi="等线" w:cs="等线"/>
                <w:color w:val="000000"/>
                <w:sz w:val="22"/>
              </w:rPr>
            </w:pPr>
          </w:p>
        </w:tc>
      </w:tr>
      <w:tr w:rsidR="00F43A36">
        <w:trPr>
          <w:trHeight w:val="285"/>
        </w:trPr>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rPr>
                <w:rFonts w:ascii="等线" w:eastAsia="等线" w:hAnsi="等线" w:cs="等线"/>
                <w:color w:val="000000"/>
                <w:sz w:val="22"/>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rPr>
                <w:rFonts w:ascii="等线" w:eastAsia="等线" w:hAnsi="等线" w:cs="等线"/>
                <w:color w:val="000000"/>
                <w:sz w:val="22"/>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rPr>
                <w:rFonts w:ascii="等线" w:eastAsia="等线" w:hAnsi="等线" w:cs="等线"/>
                <w:color w:val="000000"/>
                <w:sz w:val="22"/>
              </w:rPr>
            </w:pPr>
          </w:p>
        </w:tc>
        <w:tc>
          <w:tcPr>
            <w:tcW w:w="478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等线" w:eastAsia="等线" w:hAnsi="等线" w:cs="等线"/>
                <w:color w:val="000000"/>
                <w:sz w:val="22"/>
              </w:rPr>
            </w:pPr>
          </w:p>
        </w:tc>
        <w:tc>
          <w:tcPr>
            <w:tcW w:w="454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等线" w:eastAsia="等线" w:hAnsi="等线" w:cs="等线"/>
                <w:color w:val="000000"/>
                <w:sz w:val="22"/>
              </w:rPr>
            </w:pP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rPr>
                <w:rFonts w:ascii="等线" w:eastAsia="等线" w:hAnsi="等线" w:cs="等线"/>
                <w:color w:val="000000"/>
                <w:sz w:val="22"/>
              </w:rPr>
            </w:pPr>
          </w:p>
        </w:tc>
      </w:tr>
      <w:tr w:rsidR="00F43A36">
        <w:trPr>
          <w:trHeight w:val="285"/>
        </w:trPr>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rPr>
                <w:rFonts w:ascii="等线" w:eastAsia="等线" w:hAnsi="等线" w:cs="等线"/>
                <w:color w:val="000000"/>
                <w:sz w:val="22"/>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rPr>
                <w:rFonts w:ascii="等线" w:eastAsia="等线" w:hAnsi="等线" w:cs="等线"/>
                <w:color w:val="000000"/>
                <w:sz w:val="22"/>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rPr>
                <w:rFonts w:ascii="等线" w:eastAsia="等线" w:hAnsi="等线" w:cs="等线"/>
                <w:color w:val="000000"/>
                <w:sz w:val="22"/>
              </w:rPr>
            </w:pPr>
          </w:p>
        </w:tc>
        <w:tc>
          <w:tcPr>
            <w:tcW w:w="478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等线" w:eastAsia="等线" w:hAnsi="等线" w:cs="等线"/>
                <w:color w:val="000000"/>
                <w:sz w:val="22"/>
              </w:rPr>
            </w:pPr>
          </w:p>
        </w:tc>
        <w:tc>
          <w:tcPr>
            <w:tcW w:w="454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等线" w:eastAsia="等线" w:hAnsi="等线" w:cs="等线"/>
                <w:color w:val="000000"/>
                <w:sz w:val="22"/>
              </w:rPr>
            </w:pP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rPr>
                <w:rFonts w:ascii="等线" w:eastAsia="等线" w:hAnsi="等线" w:cs="等线"/>
                <w:color w:val="000000"/>
                <w:sz w:val="22"/>
              </w:rPr>
            </w:pPr>
          </w:p>
        </w:tc>
      </w:tr>
      <w:tr w:rsidR="00F43A36">
        <w:trPr>
          <w:trHeight w:val="285"/>
        </w:trPr>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rPr>
                <w:rFonts w:ascii="等线" w:eastAsia="等线" w:hAnsi="等线" w:cs="等线"/>
                <w:color w:val="000000"/>
                <w:sz w:val="22"/>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rPr>
                <w:rFonts w:ascii="等线" w:eastAsia="等线" w:hAnsi="等线" w:cs="等线"/>
                <w:color w:val="000000"/>
                <w:sz w:val="22"/>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rPr>
                <w:rFonts w:ascii="等线" w:eastAsia="等线" w:hAnsi="等线" w:cs="等线"/>
                <w:color w:val="000000"/>
                <w:sz w:val="22"/>
              </w:rPr>
            </w:pPr>
          </w:p>
        </w:tc>
        <w:tc>
          <w:tcPr>
            <w:tcW w:w="478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等线" w:eastAsia="等线" w:hAnsi="等线" w:cs="等线"/>
                <w:color w:val="000000"/>
                <w:sz w:val="22"/>
              </w:rPr>
            </w:pPr>
          </w:p>
        </w:tc>
        <w:tc>
          <w:tcPr>
            <w:tcW w:w="454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等线" w:eastAsia="等线" w:hAnsi="等线" w:cs="等线"/>
                <w:color w:val="000000"/>
                <w:sz w:val="22"/>
              </w:rPr>
            </w:pP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rPr>
                <w:rFonts w:ascii="等线" w:eastAsia="等线" w:hAnsi="等线" w:cs="等线"/>
                <w:color w:val="000000"/>
                <w:sz w:val="22"/>
              </w:rPr>
            </w:pPr>
          </w:p>
        </w:tc>
      </w:tr>
      <w:tr w:rsidR="00F43A36">
        <w:trPr>
          <w:trHeight w:val="285"/>
        </w:trPr>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rPr>
                <w:rFonts w:ascii="等线" w:eastAsia="等线" w:hAnsi="等线" w:cs="等线"/>
                <w:color w:val="000000"/>
                <w:sz w:val="22"/>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rPr>
                <w:rFonts w:ascii="等线" w:eastAsia="等线" w:hAnsi="等线" w:cs="等线"/>
                <w:color w:val="000000"/>
                <w:sz w:val="22"/>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rPr>
                <w:rFonts w:ascii="等线" w:eastAsia="等线" w:hAnsi="等线" w:cs="等线"/>
                <w:color w:val="000000"/>
                <w:sz w:val="22"/>
              </w:rPr>
            </w:pPr>
          </w:p>
        </w:tc>
        <w:tc>
          <w:tcPr>
            <w:tcW w:w="478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等线" w:eastAsia="等线" w:hAnsi="等线" w:cs="等线"/>
                <w:color w:val="000000"/>
                <w:sz w:val="22"/>
              </w:rPr>
            </w:pPr>
          </w:p>
        </w:tc>
        <w:tc>
          <w:tcPr>
            <w:tcW w:w="454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等线" w:eastAsia="等线" w:hAnsi="等线" w:cs="等线"/>
                <w:color w:val="000000"/>
                <w:sz w:val="22"/>
              </w:rPr>
            </w:pP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rPr>
                <w:rFonts w:ascii="等线" w:eastAsia="等线" w:hAnsi="等线" w:cs="等线"/>
                <w:color w:val="000000"/>
                <w:sz w:val="22"/>
              </w:rPr>
            </w:pPr>
          </w:p>
        </w:tc>
      </w:tr>
      <w:tr w:rsidR="00F43A36">
        <w:trPr>
          <w:trHeight w:val="285"/>
        </w:trPr>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rPr>
                <w:rFonts w:ascii="等线" w:eastAsia="等线" w:hAnsi="等线" w:cs="等线"/>
                <w:color w:val="000000"/>
                <w:sz w:val="22"/>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rPr>
                <w:rFonts w:ascii="等线" w:eastAsia="等线" w:hAnsi="等线" w:cs="等线"/>
                <w:color w:val="000000"/>
                <w:sz w:val="22"/>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rPr>
                <w:rFonts w:ascii="等线" w:eastAsia="等线" w:hAnsi="等线" w:cs="等线"/>
                <w:color w:val="000000"/>
                <w:sz w:val="22"/>
              </w:rPr>
            </w:pPr>
          </w:p>
        </w:tc>
        <w:tc>
          <w:tcPr>
            <w:tcW w:w="478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等线" w:eastAsia="等线" w:hAnsi="等线" w:cs="等线"/>
                <w:color w:val="000000"/>
                <w:sz w:val="22"/>
              </w:rPr>
            </w:pPr>
          </w:p>
        </w:tc>
        <w:tc>
          <w:tcPr>
            <w:tcW w:w="454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等线" w:eastAsia="等线" w:hAnsi="等线" w:cs="等线"/>
                <w:color w:val="000000"/>
                <w:sz w:val="22"/>
              </w:rPr>
            </w:pP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rPr>
                <w:rFonts w:ascii="等线" w:eastAsia="等线" w:hAnsi="等线" w:cs="等线"/>
                <w:color w:val="000000"/>
                <w:sz w:val="22"/>
              </w:rPr>
            </w:pPr>
          </w:p>
        </w:tc>
      </w:tr>
      <w:tr w:rsidR="00F43A36">
        <w:trPr>
          <w:trHeight w:val="285"/>
        </w:trPr>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rPr>
                <w:rFonts w:ascii="等线" w:eastAsia="等线" w:hAnsi="等线" w:cs="等线"/>
                <w:color w:val="000000"/>
                <w:sz w:val="22"/>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rPr>
                <w:rFonts w:ascii="等线" w:eastAsia="等线" w:hAnsi="等线" w:cs="等线"/>
                <w:color w:val="000000"/>
                <w:sz w:val="22"/>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rPr>
                <w:rFonts w:ascii="等线" w:eastAsia="等线" w:hAnsi="等线" w:cs="等线"/>
                <w:color w:val="000000"/>
                <w:sz w:val="22"/>
              </w:rPr>
            </w:pPr>
          </w:p>
        </w:tc>
        <w:tc>
          <w:tcPr>
            <w:tcW w:w="478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等线" w:eastAsia="等线" w:hAnsi="等线" w:cs="等线"/>
                <w:color w:val="000000"/>
                <w:sz w:val="22"/>
              </w:rPr>
            </w:pPr>
          </w:p>
        </w:tc>
        <w:tc>
          <w:tcPr>
            <w:tcW w:w="454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等线" w:eastAsia="等线" w:hAnsi="等线" w:cs="等线"/>
                <w:color w:val="000000"/>
                <w:sz w:val="22"/>
              </w:rPr>
            </w:pP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rPr>
                <w:rFonts w:ascii="等线" w:eastAsia="等线" w:hAnsi="等线" w:cs="等线"/>
                <w:color w:val="000000"/>
                <w:sz w:val="22"/>
              </w:rPr>
            </w:pPr>
          </w:p>
        </w:tc>
      </w:tr>
      <w:tr w:rsidR="00F43A36">
        <w:trPr>
          <w:trHeight w:val="285"/>
        </w:trPr>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rPr>
                <w:rFonts w:ascii="等线" w:eastAsia="等线" w:hAnsi="等线" w:cs="等线"/>
                <w:color w:val="000000"/>
                <w:sz w:val="22"/>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rPr>
                <w:rFonts w:ascii="等线" w:eastAsia="等线" w:hAnsi="等线" w:cs="等线"/>
                <w:color w:val="000000"/>
                <w:sz w:val="22"/>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rPr>
                <w:rFonts w:ascii="等线" w:eastAsia="等线" w:hAnsi="等线" w:cs="等线"/>
                <w:color w:val="000000"/>
                <w:sz w:val="22"/>
              </w:rPr>
            </w:pPr>
          </w:p>
        </w:tc>
        <w:tc>
          <w:tcPr>
            <w:tcW w:w="478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等线" w:eastAsia="等线" w:hAnsi="等线" w:cs="等线"/>
                <w:color w:val="000000"/>
                <w:sz w:val="22"/>
              </w:rPr>
            </w:pPr>
          </w:p>
        </w:tc>
        <w:tc>
          <w:tcPr>
            <w:tcW w:w="454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等线" w:eastAsia="等线" w:hAnsi="等线" w:cs="等线"/>
                <w:color w:val="000000"/>
                <w:sz w:val="22"/>
              </w:rPr>
            </w:pP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rPr>
                <w:rFonts w:ascii="等线" w:eastAsia="等线" w:hAnsi="等线" w:cs="等线"/>
                <w:color w:val="000000"/>
                <w:sz w:val="22"/>
              </w:rPr>
            </w:pPr>
          </w:p>
        </w:tc>
      </w:tr>
      <w:tr w:rsidR="00F43A36">
        <w:trPr>
          <w:trHeight w:val="285"/>
        </w:trPr>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rPr>
                <w:rFonts w:ascii="等线" w:eastAsia="等线" w:hAnsi="等线" w:cs="等线"/>
                <w:color w:val="000000"/>
                <w:sz w:val="22"/>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rPr>
                <w:rFonts w:ascii="等线" w:eastAsia="等线" w:hAnsi="等线" w:cs="等线"/>
                <w:color w:val="000000"/>
                <w:sz w:val="22"/>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rPr>
                <w:rFonts w:ascii="等线" w:eastAsia="等线" w:hAnsi="等线" w:cs="等线"/>
                <w:color w:val="000000"/>
                <w:sz w:val="22"/>
              </w:rPr>
            </w:pPr>
          </w:p>
        </w:tc>
        <w:tc>
          <w:tcPr>
            <w:tcW w:w="478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等线" w:eastAsia="等线" w:hAnsi="等线" w:cs="等线"/>
                <w:color w:val="000000"/>
                <w:sz w:val="22"/>
              </w:rPr>
            </w:pPr>
          </w:p>
        </w:tc>
        <w:tc>
          <w:tcPr>
            <w:tcW w:w="454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等线" w:eastAsia="等线" w:hAnsi="等线" w:cs="等线"/>
                <w:color w:val="000000"/>
                <w:sz w:val="22"/>
              </w:rPr>
            </w:pP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rPr>
                <w:rFonts w:ascii="等线" w:eastAsia="等线" w:hAnsi="等线" w:cs="等线"/>
                <w:color w:val="000000"/>
                <w:sz w:val="22"/>
              </w:rPr>
            </w:pPr>
          </w:p>
        </w:tc>
      </w:tr>
      <w:tr w:rsidR="00F43A36">
        <w:trPr>
          <w:trHeight w:val="286"/>
        </w:trPr>
        <w:tc>
          <w:tcPr>
            <w:tcW w:w="1215" w:type="dxa"/>
            <w:shd w:val="clear" w:color="auto" w:fill="auto"/>
            <w:vAlign w:val="center"/>
          </w:tcPr>
          <w:p w:rsidR="00F43A36" w:rsidRDefault="00061A8A">
            <w:pPr>
              <w:widowControl/>
              <w:jc w:val="left"/>
              <w:textAlignment w:val="center"/>
              <w:rPr>
                <w:rFonts w:ascii="等线" w:eastAsia="等线" w:hAnsi="等线" w:cs="等线"/>
                <w:b/>
                <w:color w:val="000000"/>
                <w:sz w:val="22"/>
              </w:rPr>
            </w:pPr>
            <w:r>
              <w:rPr>
                <w:rFonts w:ascii="等线" w:eastAsia="等线" w:hAnsi="等线" w:cs="等线" w:hint="eastAsia"/>
                <w:b/>
                <w:color w:val="000000"/>
                <w:kern w:val="0"/>
                <w:sz w:val="22"/>
                <w:lang w:bidi="ar"/>
              </w:rPr>
              <w:t>备注：</w:t>
            </w:r>
          </w:p>
        </w:tc>
        <w:tc>
          <w:tcPr>
            <w:tcW w:w="2055" w:type="dxa"/>
            <w:shd w:val="clear" w:color="auto" w:fill="auto"/>
            <w:vAlign w:val="bottom"/>
          </w:tcPr>
          <w:p w:rsidR="00F43A36" w:rsidRDefault="00F43A36">
            <w:pPr>
              <w:rPr>
                <w:rFonts w:ascii="等线" w:eastAsia="等线" w:hAnsi="等线" w:cs="等线"/>
                <w:color w:val="000000"/>
                <w:sz w:val="22"/>
              </w:rPr>
            </w:pPr>
          </w:p>
        </w:tc>
        <w:tc>
          <w:tcPr>
            <w:tcW w:w="1035" w:type="dxa"/>
            <w:shd w:val="clear" w:color="auto" w:fill="auto"/>
            <w:vAlign w:val="bottom"/>
          </w:tcPr>
          <w:p w:rsidR="00F43A36" w:rsidRDefault="00F43A36">
            <w:pPr>
              <w:rPr>
                <w:rFonts w:ascii="等线" w:eastAsia="等线" w:hAnsi="等线" w:cs="等线"/>
                <w:color w:val="000000"/>
                <w:sz w:val="22"/>
              </w:rPr>
            </w:pPr>
          </w:p>
        </w:tc>
        <w:tc>
          <w:tcPr>
            <w:tcW w:w="1560" w:type="dxa"/>
            <w:shd w:val="clear" w:color="auto" w:fill="auto"/>
            <w:vAlign w:val="bottom"/>
          </w:tcPr>
          <w:p w:rsidR="00F43A36" w:rsidRDefault="00F43A36">
            <w:pPr>
              <w:rPr>
                <w:rFonts w:ascii="等线" w:eastAsia="等线" w:hAnsi="等线" w:cs="等线"/>
                <w:color w:val="000000"/>
                <w:sz w:val="22"/>
              </w:rPr>
            </w:pPr>
          </w:p>
        </w:tc>
        <w:tc>
          <w:tcPr>
            <w:tcW w:w="1612" w:type="dxa"/>
            <w:shd w:val="clear" w:color="auto" w:fill="auto"/>
            <w:vAlign w:val="bottom"/>
          </w:tcPr>
          <w:p w:rsidR="00F43A36" w:rsidRDefault="00F43A36">
            <w:pPr>
              <w:rPr>
                <w:rFonts w:ascii="等线" w:eastAsia="等线" w:hAnsi="等线" w:cs="等线"/>
                <w:color w:val="000000"/>
                <w:sz w:val="22"/>
              </w:rPr>
            </w:pPr>
          </w:p>
        </w:tc>
        <w:tc>
          <w:tcPr>
            <w:tcW w:w="1612" w:type="dxa"/>
            <w:shd w:val="clear" w:color="auto" w:fill="auto"/>
            <w:vAlign w:val="bottom"/>
          </w:tcPr>
          <w:p w:rsidR="00F43A36" w:rsidRDefault="00F43A36">
            <w:pPr>
              <w:rPr>
                <w:rFonts w:ascii="等线" w:eastAsia="等线" w:hAnsi="等线" w:cs="等线"/>
                <w:color w:val="000000"/>
                <w:sz w:val="22"/>
              </w:rPr>
            </w:pPr>
          </w:p>
        </w:tc>
        <w:tc>
          <w:tcPr>
            <w:tcW w:w="1320" w:type="dxa"/>
            <w:shd w:val="clear" w:color="auto" w:fill="auto"/>
            <w:vAlign w:val="bottom"/>
          </w:tcPr>
          <w:p w:rsidR="00F43A36" w:rsidRDefault="00F43A36">
            <w:pPr>
              <w:rPr>
                <w:rFonts w:ascii="等线" w:eastAsia="等线" w:hAnsi="等线" w:cs="等线"/>
                <w:color w:val="000000"/>
                <w:sz w:val="22"/>
              </w:rPr>
            </w:pPr>
          </w:p>
        </w:tc>
        <w:tc>
          <w:tcPr>
            <w:tcW w:w="1612" w:type="dxa"/>
            <w:shd w:val="clear" w:color="auto" w:fill="auto"/>
            <w:vAlign w:val="bottom"/>
          </w:tcPr>
          <w:p w:rsidR="00F43A36" w:rsidRDefault="00F43A36">
            <w:pPr>
              <w:rPr>
                <w:rFonts w:ascii="等线" w:eastAsia="等线" w:hAnsi="等线" w:cs="等线"/>
                <w:color w:val="000000"/>
                <w:sz w:val="22"/>
              </w:rPr>
            </w:pPr>
          </w:p>
        </w:tc>
        <w:tc>
          <w:tcPr>
            <w:tcW w:w="1612" w:type="dxa"/>
            <w:shd w:val="clear" w:color="auto" w:fill="auto"/>
            <w:vAlign w:val="bottom"/>
          </w:tcPr>
          <w:p w:rsidR="00F43A36" w:rsidRDefault="00F43A36">
            <w:pPr>
              <w:rPr>
                <w:rFonts w:ascii="等线" w:eastAsia="等线" w:hAnsi="等线" w:cs="等线"/>
                <w:color w:val="000000"/>
                <w:sz w:val="22"/>
              </w:rPr>
            </w:pPr>
          </w:p>
        </w:tc>
        <w:tc>
          <w:tcPr>
            <w:tcW w:w="1065" w:type="dxa"/>
            <w:shd w:val="clear" w:color="auto" w:fill="auto"/>
            <w:vAlign w:val="bottom"/>
          </w:tcPr>
          <w:p w:rsidR="00F43A36" w:rsidRDefault="00F43A36">
            <w:pPr>
              <w:rPr>
                <w:rFonts w:ascii="等线" w:eastAsia="等线" w:hAnsi="等线" w:cs="等线"/>
                <w:color w:val="000000"/>
                <w:sz w:val="22"/>
              </w:rPr>
            </w:pPr>
          </w:p>
        </w:tc>
      </w:tr>
      <w:tr w:rsidR="00F43A36">
        <w:trPr>
          <w:trHeight w:val="270"/>
        </w:trPr>
        <w:tc>
          <w:tcPr>
            <w:tcW w:w="14698" w:type="dxa"/>
            <w:gridSpan w:val="10"/>
            <w:shd w:val="clear" w:color="auto" w:fill="auto"/>
            <w:vAlign w:val="center"/>
          </w:tcPr>
          <w:p w:rsidR="00F43A36" w:rsidRDefault="00061A8A">
            <w:pPr>
              <w:widowControl/>
              <w:jc w:val="left"/>
              <w:textAlignment w:val="center"/>
              <w:rPr>
                <w:rFonts w:ascii="等线" w:eastAsia="等线" w:hAnsi="等线" w:cs="等线"/>
                <w:color w:val="000000"/>
                <w:sz w:val="22"/>
              </w:rPr>
            </w:pPr>
            <w:r>
              <w:rPr>
                <w:rFonts w:ascii="等线" w:eastAsia="等线" w:hAnsi="等线" w:cs="等线" w:hint="eastAsia"/>
                <w:color w:val="000000"/>
                <w:kern w:val="0"/>
                <w:sz w:val="22"/>
                <w:lang w:bidi="ar"/>
              </w:rPr>
              <w:t>1.关联自然人统一在该表中汇总填写；</w:t>
            </w:r>
          </w:p>
        </w:tc>
      </w:tr>
      <w:tr w:rsidR="00F43A36">
        <w:trPr>
          <w:trHeight w:val="630"/>
        </w:trPr>
        <w:tc>
          <w:tcPr>
            <w:tcW w:w="14698" w:type="dxa"/>
            <w:gridSpan w:val="10"/>
            <w:shd w:val="clear" w:color="auto" w:fill="auto"/>
            <w:vAlign w:val="center"/>
          </w:tcPr>
          <w:p w:rsidR="00F43A36" w:rsidRDefault="00061A8A">
            <w:pPr>
              <w:widowControl/>
              <w:jc w:val="left"/>
              <w:textAlignment w:val="center"/>
              <w:rPr>
                <w:rFonts w:ascii="等线" w:eastAsia="等线" w:hAnsi="等线" w:cs="等线"/>
                <w:color w:val="000000"/>
                <w:sz w:val="22"/>
              </w:rPr>
            </w:pPr>
            <w:r>
              <w:rPr>
                <w:rFonts w:ascii="等线" w:eastAsia="等线" w:hAnsi="等线" w:cs="等线" w:hint="eastAsia"/>
                <w:color w:val="000000"/>
                <w:kern w:val="0"/>
                <w:sz w:val="22"/>
                <w:lang w:bidi="ar"/>
              </w:rPr>
              <w:t>2.“关联关系”一栏，是内部人的填写所在机构及职务；非内部人的请描述出具体的关联关系，如“内部人张某的妻弟”、“关联法人XXX公司（如主要非自然人股东）的董事”等。</w:t>
            </w:r>
          </w:p>
        </w:tc>
      </w:tr>
      <w:tr w:rsidR="00F43A36">
        <w:trPr>
          <w:trHeight w:val="285"/>
        </w:trPr>
        <w:tc>
          <w:tcPr>
            <w:tcW w:w="14698" w:type="dxa"/>
            <w:gridSpan w:val="10"/>
            <w:shd w:val="clear" w:color="auto" w:fill="auto"/>
            <w:vAlign w:val="center"/>
          </w:tcPr>
          <w:p w:rsidR="00F43A36" w:rsidRDefault="00061A8A">
            <w:pPr>
              <w:widowControl/>
              <w:jc w:val="left"/>
              <w:textAlignment w:val="center"/>
              <w:rPr>
                <w:rFonts w:ascii="等线" w:eastAsia="等线" w:hAnsi="等线" w:cs="等线"/>
                <w:color w:val="000000"/>
                <w:sz w:val="22"/>
              </w:rPr>
            </w:pPr>
            <w:r>
              <w:rPr>
                <w:rFonts w:ascii="等线" w:eastAsia="等线" w:hAnsi="等线" w:cs="等线" w:hint="eastAsia"/>
                <w:color w:val="000000"/>
                <w:kern w:val="0"/>
                <w:sz w:val="22"/>
                <w:lang w:bidi="ar"/>
              </w:rPr>
              <w:t>3.对新增或退出的关联方，在备注栏中标注“新增”或“退出”。</w:t>
            </w:r>
          </w:p>
        </w:tc>
      </w:tr>
    </w:tbl>
    <w:p w:rsidR="00F43A36" w:rsidRDefault="00F43A36"/>
    <w:p w:rsidR="00F43A36" w:rsidRDefault="00061A8A">
      <w:r>
        <w:lastRenderedPageBreak/>
        <w:br w:type="page"/>
      </w:r>
    </w:p>
    <w:p w:rsidR="00F43A36" w:rsidRDefault="00F43A36"/>
    <w:tbl>
      <w:tblPr>
        <w:tblW w:w="13520" w:type="dxa"/>
        <w:tblLayout w:type="fixed"/>
        <w:tblCellMar>
          <w:top w:w="15" w:type="dxa"/>
          <w:left w:w="15" w:type="dxa"/>
          <w:bottom w:w="15" w:type="dxa"/>
          <w:right w:w="15" w:type="dxa"/>
        </w:tblCellMar>
        <w:tblLook w:val="04A0" w:firstRow="1" w:lastRow="0" w:firstColumn="1" w:lastColumn="0" w:noHBand="0" w:noVBand="1"/>
      </w:tblPr>
      <w:tblGrid>
        <w:gridCol w:w="1215"/>
        <w:gridCol w:w="2055"/>
        <w:gridCol w:w="1560"/>
        <w:gridCol w:w="1410"/>
        <w:gridCol w:w="1410"/>
        <w:gridCol w:w="1320"/>
        <w:gridCol w:w="1410"/>
        <w:gridCol w:w="1410"/>
        <w:gridCol w:w="180"/>
        <w:gridCol w:w="1550"/>
      </w:tblGrid>
      <w:tr w:rsidR="00F43A36">
        <w:trPr>
          <w:trHeight w:val="286"/>
        </w:trPr>
        <w:tc>
          <w:tcPr>
            <w:tcW w:w="1215" w:type="dxa"/>
            <w:shd w:val="clear" w:color="auto" w:fill="auto"/>
            <w:vAlign w:val="center"/>
          </w:tcPr>
          <w:p w:rsidR="00F43A36" w:rsidRDefault="00061A8A">
            <w:pPr>
              <w:widowControl/>
              <w:jc w:val="left"/>
              <w:textAlignment w:val="center"/>
              <w:rPr>
                <w:rFonts w:ascii="等线" w:eastAsia="等线" w:hAnsi="等线" w:cs="等线"/>
                <w:color w:val="000000"/>
                <w:sz w:val="22"/>
              </w:rPr>
            </w:pPr>
            <w:r>
              <w:rPr>
                <w:rFonts w:ascii="等线" w:eastAsia="等线" w:hAnsi="等线" w:cs="等线" w:hint="eastAsia"/>
                <w:color w:val="000000"/>
                <w:kern w:val="0"/>
                <w:sz w:val="22"/>
                <w:lang w:bidi="ar"/>
              </w:rPr>
              <w:t>附件3-2</w:t>
            </w:r>
          </w:p>
        </w:tc>
        <w:tc>
          <w:tcPr>
            <w:tcW w:w="2055" w:type="dxa"/>
            <w:shd w:val="clear" w:color="auto" w:fill="auto"/>
            <w:vAlign w:val="bottom"/>
          </w:tcPr>
          <w:p w:rsidR="00F43A36" w:rsidRDefault="00F43A36">
            <w:pPr>
              <w:rPr>
                <w:rFonts w:ascii="等线" w:eastAsia="等线" w:hAnsi="等线" w:cs="等线"/>
                <w:color w:val="000000"/>
                <w:sz w:val="22"/>
              </w:rPr>
            </w:pPr>
          </w:p>
        </w:tc>
        <w:tc>
          <w:tcPr>
            <w:tcW w:w="1560" w:type="dxa"/>
            <w:shd w:val="clear" w:color="auto" w:fill="auto"/>
            <w:vAlign w:val="bottom"/>
          </w:tcPr>
          <w:p w:rsidR="00F43A36" w:rsidRDefault="00F43A36">
            <w:pPr>
              <w:rPr>
                <w:rFonts w:ascii="等线" w:eastAsia="等线" w:hAnsi="等线" w:cs="等线"/>
                <w:color w:val="000000"/>
                <w:sz w:val="22"/>
              </w:rPr>
            </w:pPr>
          </w:p>
        </w:tc>
        <w:tc>
          <w:tcPr>
            <w:tcW w:w="1410" w:type="dxa"/>
            <w:shd w:val="clear" w:color="auto" w:fill="auto"/>
            <w:vAlign w:val="bottom"/>
          </w:tcPr>
          <w:p w:rsidR="00F43A36" w:rsidRDefault="00F43A36">
            <w:pPr>
              <w:rPr>
                <w:rFonts w:ascii="等线" w:eastAsia="等线" w:hAnsi="等线" w:cs="等线"/>
                <w:color w:val="000000"/>
                <w:sz w:val="22"/>
              </w:rPr>
            </w:pPr>
          </w:p>
        </w:tc>
        <w:tc>
          <w:tcPr>
            <w:tcW w:w="1410" w:type="dxa"/>
            <w:shd w:val="clear" w:color="auto" w:fill="auto"/>
            <w:vAlign w:val="bottom"/>
          </w:tcPr>
          <w:p w:rsidR="00F43A36" w:rsidRDefault="00F43A36">
            <w:pPr>
              <w:rPr>
                <w:rFonts w:ascii="等线" w:eastAsia="等线" w:hAnsi="等线" w:cs="等线"/>
                <w:color w:val="000000"/>
                <w:sz w:val="22"/>
              </w:rPr>
            </w:pPr>
          </w:p>
        </w:tc>
        <w:tc>
          <w:tcPr>
            <w:tcW w:w="1320" w:type="dxa"/>
            <w:shd w:val="clear" w:color="auto" w:fill="auto"/>
            <w:vAlign w:val="bottom"/>
          </w:tcPr>
          <w:p w:rsidR="00F43A36" w:rsidRDefault="00F43A36">
            <w:pPr>
              <w:rPr>
                <w:rFonts w:ascii="等线" w:eastAsia="等线" w:hAnsi="等线" w:cs="等线"/>
                <w:color w:val="000000"/>
                <w:sz w:val="22"/>
              </w:rPr>
            </w:pPr>
          </w:p>
        </w:tc>
        <w:tc>
          <w:tcPr>
            <w:tcW w:w="1410" w:type="dxa"/>
            <w:shd w:val="clear" w:color="auto" w:fill="auto"/>
            <w:vAlign w:val="bottom"/>
          </w:tcPr>
          <w:p w:rsidR="00F43A36" w:rsidRDefault="00F43A36">
            <w:pPr>
              <w:rPr>
                <w:rFonts w:ascii="等线" w:eastAsia="等线" w:hAnsi="等线" w:cs="等线"/>
                <w:color w:val="000000"/>
                <w:sz w:val="22"/>
              </w:rPr>
            </w:pPr>
          </w:p>
        </w:tc>
        <w:tc>
          <w:tcPr>
            <w:tcW w:w="1410" w:type="dxa"/>
            <w:shd w:val="clear" w:color="auto" w:fill="auto"/>
            <w:vAlign w:val="bottom"/>
          </w:tcPr>
          <w:p w:rsidR="00F43A36" w:rsidRDefault="00F43A36">
            <w:pPr>
              <w:rPr>
                <w:rFonts w:ascii="等线" w:eastAsia="等线" w:hAnsi="等线" w:cs="等线"/>
                <w:color w:val="000000"/>
                <w:sz w:val="22"/>
              </w:rPr>
            </w:pPr>
          </w:p>
        </w:tc>
        <w:tc>
          <w:tcPr>
            <w:tcW w:w="1730" w:type="dxa"/>
            <w:gridSpan w:val="2"/>
            <w:shd w:val="clear" w:color="auto" w:fill="auto"/>
            <w:vAlign w:val="bottom"/>
          </w:tcPr>
          <w:p w:rsidR="00F43A36" w:rsidRDefault="00F43A36">
            <w:pPr>
              <w:rPr>
                <w:rFonts w:ascii="等线" w:eastAsia="等线" w:hAnsi="等线" w:cs="等线"/>
                <w:color w:val="000000"/>
                <w:sz w:val="22"/>
              </w:rPr>
            </w:pPr>
          </w:p>
        </w:tc>
      </w:tr>
      <w:tr w:rsidR="00F43A36">
        <w:trPr>
          <w:trHeight w:val="405"/>
        </w:trPr>
        <w:tc>
          <w:tcPr>
            <w:tcW w:w="13520" w:type="dxa"/>
            <w:gridSpan w:val="10"/>
            <w:shd w:val="clear" w:color="auto" w:fill="auto"/>
            <w:vAlign w:val="center"/>
          </w:tcPr>
          <w:p w:rsidR="00F43A36" w:rsidRDefault="00061A8A">
            <w:pPr>
              <w:widowControl/>
              <w:jc w:val="center"/>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lang w:bidi="ar"/>
              </w:rPr>
              <w:t>关联法人信息汇总表</w:t>
            </w:r>
          </w:p>
        </w:tc>
      </w:tr>
      <w:tr w:rsidR="00F43A36">
        <w:trPr>
          <w:trHeight w:val="286"/>
        </w:trPr>
        <w:tc>
          <w:tcPr>
            <w:tcW w:w="1215" w:type="dxa"/>
            <w:shd w:val="clear" w:color="auto" w:fill="auto"/>
            <w:vAlign w:val="center"/>
          </w:tcPr>
          <w:p w:rsidR="00F43A36" w:rsidRDefault="00061A8A">
            <w:pPr>
              <w:widowControl/>
              <w:jc w:val="left"/>
              <w:textAlignment w:val="center"/>
              <w:rPr>
                <w:rFonts w:ascii="等线" w:eastAsia="等线" w:hAnsi="等线" w:cs="等线"/>
                <w:color w:val="000000"/>
                <w:sz w:val="22"/>
              </w:rPr>
            </w:pPr>
            <w:r>
              <w:rPr>
                <w:rFonts w:ascii="等线" w:eastAsia="等线" w:hAnsi="等线" w:cs="等线" w:hint="eastAsia"/>
                <w:color w:val="000000"/>
                <w:kern w:val="0"/>
                <w:sz w:val="22"/>
                <w:lang w:bidi="ar"/>
              </w:rPr>
              <w:t>填报机构：</w:t>
            </w:r>
          </w:p>
        </w:tc>
        <w:tc>
          <w:tcPr>
            <w:tcW w:w="2055" w:type="dxa"/>
            <w:shd w:val="clear" w:color="auto" w:fill="auto"/>
            <w:vAlign w:val="center"/>
          </w:tcPr>
          <w:p w:rsidR="00F43A36" w:rsidRDefault="00F43A36">
            <w:pPr>
              <w:jc w:val="center"/>
              <w:rPr>
                <w:rFonts w:ascii="等线" w:eastAsia="等线" w:hAnsi="等线" w:cs="等线"/>
                <w:color w:val="000000"/>
                <w:sz w:val="22"/>
              </w:rPr>
            </w:pPr>
          </w:p>
        </w:tc>
        <w:tc>
          <w:tcPr>
            <w:tcW w:w="1560" w:type="dxa"/>
            <w:shd w:val="clear" w:color="auto" w:fill="auto"/>
            <w:vAlign w:val="center"/>
          </w:tcPr>
          <w:p w:rsidR="00F43A36" w:rsidRDefault="00061A8A">
            <w:pPr>
              <w:widowControl/>
              <w:jc w:val="left"/>
              <w:textAlignment w:val="center"/>
              <w:rPr>
                <w:rFonts w:ascii="等线" w:eastAsia="等线" w:hAnsi="等线" w:cs="等线"/>
                <w:color w:val="000000"/>
                <w:sz w:val="22"/>
              </w:rPr>
            </w:pPr>
            <w:r>
              <w:rPr>
                <w:rFonts w:ascii="等线" w:eastAsia="等线" w:hAnsi="等线" w:cs="等线" w:hint="eastAsia"/>
                <w:color w:val="000000"/>
                <w:kern w:val="0"/>
                <w:sz w:val="22"/>
                <w:lang w:bidi="ar"/>
              </w:rPr>
              <w:t>负责人签字：</w:t>
            </w:r>
          </w:p>
        </w:tc>
        <w:tc>
          <w:tcPr>
            <w:tcW w:w="2820" w:type="dxa"/>
            <w:gridSpan w:val="2"/>
            <w:shd w:val="clear" w:color="auto" w:fill="auto"/>
            <w:vAlign w:val="center"/>
          </w:tcPr>
          <w:p w:rsidR="00F43A36" w:rsidRDefault="00F43A36">
            <w:pPr>
              <w:jc w:val="center"/>
              <w:rPr>
                <w:rFonts w:ascii="等线" w:eastAsia="等线" w:hAnsi="等线" w:cs="等线"/>
                <w:color w:val="000000"/>
                <w:sz w:val="22"/>
              </w:rPr>
            </w:pPr>
          </w:p>
        </w:tc>
        <w:tc>
          <w:tcPr>
            <w:tcW w:w="1320" w:type="dxa"/>
            <w:shd w:val="clear" w:color="auto" w:fill="auto"/>
            <w:vAlign w:val="center"/>
          </w:tcPr>
          <w:p w:rsidR="00F43A36" w:rsidRDefault="00061A8A">
            <w:pPr>
              <w:widowControl/>
              <w:jc w:val="left"/>
              <w:textAlignment w:val="center"/>
              <w:rPr>
                <w:rFonts w:ascii="等线" w:eastAsia="等线" w:hAnsi="等线" w:cs="等线"/>
                <w:color w:val="000000"/>
                <w:sz w:val="22"/>
              </w:rPr>
            </w:pPr>
            <w:r>
              <w:rPr>
                <w:rFonts w:ascii="等线" w:eastAsia="等线" w:hAnsi="等线" w:cs="等线" w:hint="eastAsia"/>
                <w:color w:val="000000"/>
                <w:kern w:val="0"/>
                <w:sz w:val="22"/>
                <w:lang w:bidi="ar"/>
              </w:rPr>
              <w:t>填报时间：</w:t>
            </w:r>
          </w:p>
        </w:tc>
        <w:tc>
          <w:tcPr>
            <w:tcW w:w="3000" w:type="dxa"/>
            <w:gridSpan w:val="3"/>
            <w:shd w:val="clear" w:color="auto" w:fill="auto"/>
            <w:vAlign w:val="center"/>
          </w:tcPr>
          <w:p w:rsidR="00F43A36" w:rsidRDefault="00F43A36">
            <w:pPr>
              <w:jc w:val="center"/>
              <w:rPr>
                <w:rFonts w:ascii="等线" w:eastAsia="等线" w:hAnsi="等线" w:cs="等线"/>
                <w:color w:val="000000"/>
                <w:sz w:val="22"/>
              </w:rPr>
            </w:pPr>
          </w:p>
        </w:tc>
        <w:tc>
          <w:tcPr>
            <w:tcW w:w="1550" w:type="dxa"/>
            <w:shd w:val="clear" w:color="auto" w:fill="auto"/>
            <w:vAlign w:val="bottom"/>
          </w:tcPr>
          <w:p w:rsidR="00F43A36" w:rsidRDefault="00F43A36">
            <w:pPr>
              <w:rPr>
                <w:rFonts w:ascii="等线" w:eastAsia="等线" w:hAnsi="等线" w:cs="等线"/>
                <w:color w:val="000000"/>
                <w:sz w:val="22"/>
              </w:rPr>
            </w:pPr>
          </w:p>
        </w:tc>
      </w:tr>
      <w:tr w:rsidR="00F43A36">
        <w:trPr>
          <w:trHeight w:val="285"/>
        </w:trPr>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061A8A">
            <w:pPr>
              <w:widowControl/>
              <w:jc w:val="center"/>
              <w:textAlignment w:val="center"/>
              <w:rPr>
                <w:rFonts w:ascii="等线" w:eastAsia="等线" w:hAnsi="等线" w:cs="等线"/>
                <w:b/>
                <w:color w:val="000000"/>
                <w:sz w:val="22"/>
              </w:rPr>
            </w:pPr>
            <w:r>
              <w:rPr>
                <w:rFonts w:ascii="等线" w:eastAsia="等线" w:hAnsi="等线" w:cs="等线" w:hint="eastAsia"/>
                <w:b/>
                <w:color w:val="000000"/>
                <w:kern w:val="0"/>
                <w:sz w:val="22"/>
                <w:lang w:bidi="ar"/>
              </w:rPr>
              <w:t>序号</w:t>
            </w: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061A8A">
            <w:pPr>
              <w:widowControl/>
              <w:jc w:val="center"/>
              <w:textAlignment w:val="center"/>
              <w:rPr>
                <w:rFonts w:ascii="等线" w:eastAsia="等线" w:hAnsi="等线" w:cs="等线"/>
                <w:b/>
                <w:color w:val="000000"/>
                <w:sz w:val="22"/>
              </w:rPr>
            </w:pPr>
            <w:r>
              <w:rPr>
                <w:rFonts w:ascii="等线" w:eastAsia="等线" w:hAnsi="等线" w:cs="等线" w:hint="eastAsia"/>
                <w:b/>
                <w:color w:val="000000"/>
                <w:kern w:val="0"/>
                <w:sz w:val="22"/>
                <w:lang w:bidi="ar"/>
              </w:rPr>
              <w:t>关联方名称</w:t>
            </w:r>
          </w:p>
        </w:tc>
        <w:tc>
          <w:tcPr>
            <w:tcW w:w="43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061A8A">
            <w:pPr>
              <w:widowControl/>
              <w:jc w:val="center"/>
              <w:textAlignment w:val="center"/>
              <w:rPr>
                <w:rFonts w:ascii="等线" w:eastAsia="等线" w:hAnsi="等线" w:cs="等线"/>
                <w:b/>
                <w:color w:val="000000"/>
                <w:sz w:val="22"/>
              </w:rPr>
            </w:pPr>
            <w:r>
              <w:rPr>
                <w:rFonts w:ascii="等线" w:eastAsia="等线" w:hAnsi="等线" w:cs="等线" w:hint="eastAsia"/>
                <w:b/>
                <w:color w:val="000000"/>
                <w:kern w:val="0"/>
                <w:sz w:val="22"/>
                <w:lang w:bidi="ar"/>
              </w:rPr>
              <w:t>组织机构代码</w:t>
            </w:r>
          </w:p>
        </w:tc>
        <w:tc>
          <w:tcPr>
            <w:tcW w:w="43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061A8A">
            <w:pPr>
              <w:widowControl/>
              <w:jc w:val="center"/>
              <w:textAlignment w:val="center"/>
              <w:rPr>
                <w:rFonts w:ascii="等线" w:eastAsia="等线" w:hAnsi="等线" w:cs="等线"/>
                <w:b/>
                <w:color w:val="000000"/>
                <w:sz w:val="22"/>
              </w:rPr>
            </w:pPr>
            <w:r>
              <w:rPr>
                <w:rFonts w:ascii="等线" w:eastAsia="等线" w:hAnsi="等线" w:cs="等线" w:hint="eastAsia"/>
                <w:b/>
                <w:color w:val="000000"/>
                <w:kern w:val="0"/>
                <w:sz w:val="22"/>
                <w:lang w:bidi="ar"/>
              </w:rPr>
              <w:t>关联关系</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061A8A">
            <w:pPr>
              <w:widowControl/>
              <w:jc w:val="center"/>
              <w:textAlignment w:val="center"/>
              <w:rPr>
                <w:rFonts w:ascii="等线" w:eastAsia="等线" w:hAnsi="等线" w:cs="等线"/>
                <w:b/>
                <w:color w:val="000000"/>
                <w:sz w:val="22"/>
              </w:rPr>
            </w:pPr>
            <w:r>
              <w:rPr>
                <w:rFonts w:ascii="等线" w:eastAsia="等线" w:hAnsi="等线" w:cs="等线" w:hint="eastAsia"/>
                <w:b/>
                <w:color w:val="000000"/>
                <w:kern w:val="0"/>
                <w:sz w:val="22"/>
                <w:lang w:bidi="ar"/>
              </w:rPr>
              <w:t>备注</w:t>
            </w:r>
          </w:p>
        </w:tc>
      </w:tr>
      <w:tr w:rsidR="00F43A36">
        <w:trPr>
          <w:trHeight w:val="365"/>
        </w:trPr>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rPr>
                <w:rFonts w:ascii="等线" w:eastAsia="等线" w:hAnsi="等线" w:cs="等线"/>
                <w:color w:val="000000"/>
                <w:sz w:val="22"/>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rPr>
                <w:rFonts w:ascii="等线" w:eastAsia="等线" w:hAnsi="等线" w:cs="等线"/>
                <w:color w:val="000000"/>
                <w:sz w:val="22"/>
              </w:rPr>
            </w:pPr>
          </w:p>
        </w:tc>
        <w:tc>
          <w:tcPr>
            <w:tcW w:w="43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等线" w:eastAsia="等线" w:hAnsi="等线" w:cs="等线"/>
                <w:color w:val="000000"/>
                <w:sz w:val="22"/>
              </w:rPr>
            </w:pPr>
          </w:p>
        </w:tc>
        <w:tc>
          <w:tcPr>
            <w:tcW w:w="43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等线" w:eastAsia="等线" w:hAnsi="等线" w:cs="等线"/>
                <w:color w:val="000000"/>
                <w:sz w:val="22"/>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rPr>
                <w:rFonts w:ascii="等线" w:eastAsia="等线" w:hAnsi="等线" w:cs="等线"/>
                <w:color w:val="000000"/>
                <w:sz w:val="22"/>
              </w:rPr>
            </w:pPr>
          </w:p>
        </w:tc>
      </w:tr>
      <w:tr w:rsidR="00F43A36">
        <w:trPr>
          <w:trHeight w:val="285"/>
        </w:trPr>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rPr>
                <w:rFonts w:ascii="等线" w:eastAsia="等线" w:hAnsi="等线" w:cs="等线"/>
                <w:color w:val="000000"/>
                <w:sz w:val="22"/>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rPr>
                <w:rFonts w:ascii="等线" w:eastAsia="等线" w:hAnsi="等线" w:cs="等线"/>
                <w:color w:val="000000"/>
                <w:sz w:val="22"/>
              </w:rPr>
            </w:pPr>
          </w:p>
        </w:tc>
        <w:tc>
          <w:tcPr>
            <w:tcW w:w="43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等线" w:eastAsia="等线" w:hAnsi="等线" w:cs="等线"/>
                <w:color w:val="000000"/>
                <w:sz w:val="22"/>
              </w:rPr>
            </w:pPr>
          </w:p>
        </w:tc>
        <w:tc>
          <w:tcPr>
            <w:tcW w:w="43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等线" w:eastAsia="等线" w:hAnsi="等线" w:cs="等线"/>
                <w:color w:val="000000"/>
                <w:sz w:val="22"/>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rPr>
                <w:rFonts w:ascii="等线" w:eastAsia="等线" w:hAnsi="等线" w:cs="等线"/>
                <w:color w:val="000000"/>
                <w:sz w:val="22"/>
              </w:rPr>
            </w:pPr>
          </w:p>
        </w:tc>
      </w:tr>
      <w:tr w:rsidR="00F43A36">
        <w:trPr>
          <w:trHeight w:val="285"/>
        </w:trPr>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rPr>
                <w:rFonts w:ascii="等线" w:eastAsia="等线" w:hAnsi="等线" w:cs="等线"/>
                <w:color w:val="000000"/>
                <w:sz w:val="22"/>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rPr>
                <w:rFonts w:ascii="等线" w:eastAsia="等线" w:hAnsi="等线" w:cs="等线"/>
                <w:color w:val="000000"/>
                <w:sz w:val="22"/>
              </w:rPr>
            </w:pPr>
          </w:p>
        </w:tc>
        <w:tc>
          <w:tcPr>
            <w:tcW w:w="43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等线" w:eastAsia="等线" w:hAnsi="等线" w:cs="等线"/>
                <w:color w:val="000000"/>
                <w:sz w:val="22"/>
              </w:rPr>
            </w:pPr>
          </w:p>
        </w:tc>
        <w:tc>
          <w:tcPr>
            <w:tcW w:w="43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等线" w:eastAsia="等线" w:hAnsi="等线" w:cs="等线"/>
                <w:color w:val="000000"/>
                <w:sz w:val="22"/>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rPr>
                <w:rFonts w:ascii="等线" w:eastAsia="等线" w:hAnsi="等线" w:cs="等线"/>
                <w:color w:val="000000"/>
                <w:sz w:val="22"/>
              </w:rPr>
            </w:pPr>
          </w:p>
        </w:tc>
      </w:tr>
      <w:tr w:rsidR="00F43A36">
        <w:trPr>
          <w:trHeight w:val="285"/>
        </w:trPr>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rPr>
                <w:rFonts w:ascii="等线" w:eastAsia="等线" w:hAnsi="等线" w:cs="等线"/>
                <w:color w:val="000000"/>
                <w:sz w:val="22"/>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rPr>
                <w:rFonts w:ascii="等线" w:eastAsia="等线" w:hAnsi="等线" w:cs="等线"/>
                <w:color w:val="000000"/>
                <w:sz w:val="22"/>
              </w:rPr>
            </w:pPr>
          </w:p>
        </w:tc>
        <w:tc>
          <w:tcPr>
            <w:tcW w:w="43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等线" w:eastAsia="等线" w:hAnsi="等线" w:cs="等线"/>
                <w:color w:val="000000"/>
                <w:sz w:val="22"/>
              </w:rPr>
            </w:pPr>
          </w:p>
        </w:tc>
        <w:tc>
          <w:tcPr>
            <w:tcW w:w="43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等线" w:eastAsia="等线" w:hAnsi="等线" w:cs="等线"/>
                <w:color w:val="000000"/>
                <w:sz w:val="22"/>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rPr>
                <w:rFonts w:ascii="等线" w:eastAsia="等线" w:hAnsi="等线" w:cs="等线"/>
                <w:color w:val="000000"/>
                <w:sz w:val="22"/>
              </w:rPr>
            </w:pPr>
          </w:p>
        </w:tc>
      </w:tr>
      <w:tr w:rsidR="00F43A36">
        <w:trPr>
          <w:trHeight w:val="285"/>
        </w:trPr>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rPr>
                <w:rFonts w:ascii="等线" w:eastAsia="等线" w:hAnsi="等线" w:cs="等线"/>
                <w:color w:val="000000"/>
                <w:sz w:val="22"/>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rPr>
                <w:rFonts w:ascii="等线" w:eastAsia="等线" w:hAnsi="等线" w:cs="等线"/>
                <w:color w:val="000000"/>
                <w:sz w:val="22"/>
              </w:rPr>
            </w:pPr>
          </w:p>
        </w:tc>
        <w:tc>
          <w:tcPr>
            <w:tcW w:w="43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等线" w:eastAsia="等线" w:hAnsi="等线" w:cs="等线"/>
                <w:color w:val="000000"/>
                <w:sz w:val="22"/>
              </w:rPr>
            </w:pPr>
          </w:p>
        </w:tc>
        <w:tc>
          <w:tcPr>
            <w:tcW w:w="43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等线" w:eastAsia="等线" w:hAnsi="等线" w:cs="等线"/>
                <w:color w:val="000000"/>
                <w:sz w:val="22"/>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rPr>
                <w:rFonts w:ascii="等线" w:eastAsia="等线" w:hAnsi="等线" w:cs="等线"/>
                <w:color w:val="000000"/>
                <w:sz w:val="22"/>
              </w:rPr>
            </w:pPr>
          </w:p>
        </w:tc>
      </w:tr>
      <w:tr w:rsidR="00F43A36">
        <w:trPr>
          <w:trHeight w:val="285"/>
        </w:trPr>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rPr>
                <w:rFonts w:ascii="等线" w:eastAsia="等线" w:hAnsi="等线" w:cs="等线"/>
                <w:color w:val="000000"/>
                <w:sz w:val="22"/>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rPr>
                <w:rFonts w:ascii="等线" w:eastAsia="等线" w:hAnsi="等线" w:cs="等线"/>
                <w:color w:val="000000"/>
                <w:sz w:val="22"/>
              </w:rPr>
            </w:pPr>
          </w:p>
        </w:tc>
        <w:tc>
          <w:tcPr>
            <w:tcW w:w="43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等线" w:eastAsia="等线" w:hAnsi="等线" w:cs="等线"/>
                <w:color w:val="000000"/>
                <w:sz w:val="22"/>
              </w:rPr>
            </w:pPr>
          </w:p>
        </w:tc>
        <w:tc>
          <w:tcPr>
            <w:tcW w:w="43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等线" w:eastAsia="等线" w:hAnsi="等线" w:cs="等线"/>
                <w:color w:val="000000"/>
                <w:sz w:val="22"/>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rPr>
                <w:rFonts w:ascii="等线" w:eastAsia="等线" w:hAnsi="等线" w:cs="等线"/>
                <w:color w:val="000000"/>
                <w:sz w:val="22"/>
              </w:rPr>
            </w:pPr>
          </w:p>
        </w:tc>
      </w:tr>
      <w:tr w:rsidR="00F43A36">
        <w:trPr>
          <w:trHeight w:val="285"/>
        </w:trPr>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rPr>
                <w:rFonts w:ascii="等线" w:eastAsia="等线" w:hAnsi="等线" w:cs="等线"/>
                <w:color w:val="000000"/>
                <w:sz w:val="22"/>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rPr>
                <w:rFonts w:ascii="等线" w:eastAsia="等线" w:hAnsi="等线" w:cs="等线"/>
                <w:color w:val="000000"/>
                <w:sz w:val="22"/>
              </w:rPr>
            </w:pPr>
          </w:p>
        </w:tc>
        <w:tc>
          <w:tcPr>
            <w:tcW w:w="43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等线" w:eastAsia="等线" w:hAnsi="等线" w:cs="等线"/>
                <w:color w:val="000000"/>
                <w:sz w:val="22"/>
              </w:rPr>
            </w:pPr>
          </w:p>
        </w:tc>
        <w:tc>
          <w:tcPr>
            <w:tcW w:w="43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等线" w:eastAsia="等线" w:hAnsi="等线" w:cs="等线"/>
                <w:color w:val="000000"/>
                <w:sz w:val="22"/>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rPr>
                <w:rFonts w:ascii="等线" w:eastAsia="等线" w:hAnsi="等线" w:cs="等线"/>
                <w:color w:val="000000"/>
                <w:sz w:val="22"/>
              </w:rPr>
            </w:pPr>
          </w:p>
        </w:tc>
      </w:tr>
      <w:tr w:rsidR="00F43A36">
        <w:trPr>
          <w:trHeight w:val="285"/>
        </w:trPr>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rPr>
                <w:rFonts w:ascii="等线" w:eastAsia="等线" w:hAnsi="等线" w:cs="等线"/>
                <w:color w:val="000000"/>
                <w:sz w:val="22"/>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rPr>
                <w:rFonts w:ascii="等线" w:eastAsia="等线" w:hAnsi="等线" w:cs="等线"/>
                <w:color w:val="000000"/>
                <w:sz w:val="22"/>
              </w:rPr>
            </w:pPr>
          </w:p>
        </w:tc>
        <w:tc>
          <w:tcPr>
            <w:tcW w:w="43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等线" w:eastAsia="等线" w:hAnsi="等线" w:cs="等线"/>
                <w:color w:val="000000"/>
                <w:sz w:val="22"/>
              </w:rPr>
            </w:pPr>
          </w:p>
        </w:tc>
        <w:tc>
          <w:tcPr>
            <w:tcW w:w="43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等线" w:eastAsia="等线" w:hAnsi="等线" w:cs="等线"/>
                <w:color w:val="000000"/>
                <w:sz w:val="22"/>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rPr>
                <w:rFonts w:ascii="等线" w:eastAsia="等线" w:hAnsi="等线" w:cs="等线"/>
                <w:color w:val="000000"/>
                <w:sz w:val="22"/>
              </w:rPr>
            </w:pPr>
          </w:p>
        </w:tc>
      </w:tr>
      <w:tr w:rsidR="00F43A36">
        <w:trPr>
          <w:trHeight w:val="285"/>
        </w:trPr>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rPr>
                <w:rFonts w:ascii="等线" w:eastAsia="等线" w:hAnsi="等线" w:cs="等线"/>
                <w:color w:val="000000"/>
                <w:sz w:val="22"/>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rPr>
                <w:rFonts w:ascii="等线" w:eastAsia="等线" w:hAnsi="等线" w:cs="等线"/>
                <w:color w:val="000000"/>
                <w:sz w:val="22"/>
              </w:rPr>
            </w:pPr>
          </w:p>
        </w:tc>
        <w:tc>
          <w:tcPr>
            <w:tcW w:w="43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等线" w:eastAsia="等线" w:hAnsi="等线" w:cs="等线"/>
                <w:color w:val="000000"/>
                <w:sz w:val="22"/>
              </w:rPr>
            </w:pPr>
          </w:p>
        </w:tc>
        <w:tc>
          <w:tcPr>
            <w:tcW w:w="43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等线" w:eastAsia="等线" w:hAnsi="等线" w:cs="等线"/>
                <w:color w:val="000000"/>
                <w:sz w:val="22"/>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rPr>
                <w:rFonts w:ascii="等线" w:eastAsia="等线" w:hAnsi="等线" w:cs="等线"/>
                <w:color w:val="000000"/>
                <w:sz w:val="22"/>
              </w:rPr>
            </w:pPr>
          </w:p>
        </w:tc>
      </w:tr>
      <w:tr w:rsidR="00F43A36">
        <w:trPr>
          <w:trHeight w:val="285"/>
        </w:trPr>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rPr>
                <w:rFonts w:ascii="等线" w:eastAsia="等线" w:hAnsi="等线" w:cs="等线"/>
                <w:color w:val="000000"/>
                <w:sz w:val="22"/>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rPr>
                <w:rFonts w:ascii="等线" w:eastAsia="等线" w:hAnsi="等线" w:cs="等线"/>
                <w:color w:val="000000"/>
                <w:sz w:val="22"/>
              </w:rPr>
            </w:pPr>
          </w:p>
        </w:tc>
        <w:tc>
          <w:tcPr>
            <w:tcW w:w="43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等线" w:eastAsia="等线" w:hAnsi="等线" w:cs="等线"/>
                <w:color w:val="000000"/>
                <w:sz w:val="22"/>
              </w:rPr>
            </w:pPr>
          </w:p>
        </w:tc>
        <w:tc>
          <w:tcPr>
            <w:tcW w:w="43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等线" w:eastAsia="等线" w:hAnsi="等线" w:cs="等线"/>
                <w:color w:val="000000"/>
                <w:sz w:val="22"/>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rPr>
                <w:rFonts w:ascii="等线" w:eastAsia="等线" w:hAnsi="等线" w:cs="等线"/>
                <w:color w:val="000000"/>
                <w:sz w:val="22"/>
              </w:rPr>
            </w:pPr>
          </w:p>
        </w:tc>
      </w:tr>
      <w:tr w:rsidR="00F43A36">
        <w:trPr>
          <w:trHeight w:val="285"/>
        </w:trPr>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rPr>
                <w:rFonts w:ascii="等线" w:eastAsia="等线" w:hAnsi="等线" w:cs="等线"/>
                <w:color w:val="000000"/>
                <w:sz w:val="22"/>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rPr>
                <w:rFonts w:ascii="等线" w:eastAsia="等线" w:hAnsi="等线" w:cs="等线"/>
                <w:color w:val="000000"/>
                <w:sz w:val="22"/>
              </w:rPr>
            </w:pPr>
          </w:p>
        </w:tc>
        <w:tc>
          <w:tcPr>
            <w:tcW w:w="43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等线" w:eastAsia="等线" w:hAnsi="等线" w:cs="等线"/>
                <w:color w:val="000000"/>
                <w:sz w:val="22"/>
              </w:rPr>
            </w:pPr>
          </w:p>
        </w:tc>
        <w:tc>
          <w:tcPr>
            <w:tcW w:w="43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等线" w:eastAsia="等线" w:hAnsi="等线" w:cs="等线"/>
                <w:color w:val="000000"/>
                <w:sz w:val="22"/>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rPr>
                <w:rFonts w:ascii="等线" w:eastAsia="等线" w:hAnsi="等线" w:cs="等线"/>
                <w:color w:val="000000"/>
                <w:sz w:val="22"/>
              </w:rPr>
            </w:pPr>
          </w:p>
        </w:tc>
      </w:tr>
      <w:tr w:rsidR="00F43A36">
        <w:trPr>
          <w:trHeight w:val="285"/>
        </w:trPr>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rPr>
                <w:rFonts w:ascii="等线" w:eastAsia="等线" w:hAnsi="等线" w:cs="等线"/>
                <w:color w:val="000000"/>
                <w:sz w:val="22"/>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rPr>
                <w:rFonts w:ascii="等线" w:eastAsia="等线" w:hAnsi="等线" w:cs="等线"/>
                <w:color w:val="000000"/>
                <w:sz w:val="22"/>
              </w:rPr>
            </w:pPr>
          </w:p>
        </w:tc>
        <w:tc>
          <w:tcPr>
            <w:tcW w:w="43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等线" w:eastAsia="等线" w:hAnsi="等线" w:cs="等线"/>
                <w:color w:val="000000"/>
                <w:sz w:val="22"/>
              </w:rPr>
            </w:pPr>
          </w:p>
        </w:tc>
        <w:tc>
          <w:tcPr>
            <w:tcW w:w="43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等线" w:eastAsia="等线" w:hAnsi="等线" w:cs="等线"/>
                <w:color w:val="000000"/>
                <w:sz w:val="22"/>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rPr>
                <w:rFonts w:ascii="等线" w:eastAsia="等线" w:hAnsi="等线" w:cs="等线"/>
                <w:color w:val="000000"/>
                <w:sz w:val="22"/>
              </w:rPr>
            </w:pPr>
          </w:p>
        </w:tc>
      </w:tr>
      <w:tr w:rsidR="00F43A36">
        <w:trPr>
          <w:trHeight w:val="285"/>
        </w:trPr>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rPr>
                <w:rFonts w:ascii="等线" w:eastAsia="等线" w:hAnsi="等线" w:cs="等线"/>
                <w:color w:val="000000"/>
                <w:sz w:val="22"/>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rPr>
                <w:rFonts w:ascii="等线" w:eastAsia="等线" w:hAnsi="等线" w:cs="等线"/>
                <w:color w:val="000000"/>
                <w:sz w:val="22"/>
              </w:rPr>
            </w:pPr>
          </w:p>
        </w:tc>
        <w:tc>
          <w:tcPr>
            <w:tcW w:w="43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等线" w:eastAsia="等线" w:hAnsi="等线" w:cs="等线"/>
                <w:color w:val="000000"/>
                <w:sz w:val="22"/>
              </w:rPr>
            </w:pPr>
          </w:p>
        </w:tc>
        <w:tc>
          <w:tcPr>
            <w:tcW w:w="43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等线" w:eastAsia="等线" w:hAnsi="等线" w:cs="等线"/>
                <w:color w:val="000000"/>
                <w:sz w:val="22"/>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rPr>
                <w:rFonts w:ascii="等线" w:eastAsia="等线" w:hAnsi="等线" w:cs="等线"/>
                <w:color w:val="000000"/>
                <w:sz w:val="22"/>
              </w:rPr>
            </w:pPr>
          </w:p>
        </w:tc>
      </w:tr>
      <w:tr w:rsidR="00F43A36">
        <w:trPr>
          <w:trHeight w:val="286"/>
        </w:trPr>
        <w:tc>
          <w:tcPr>
            <w:tcW w:w="1215" w:type="dxa"/>
            <w:shd w:val="clear" w:color="auto" w:fill="auto"/>
            <w:vAlign w:val="center"/>
          </w:tcPr>
          <w:p w:rsidR="00F43A36" w:rsidRDefault="00061A8A">
            <w:pPr>
              <w:widowControl/>
              <w:jc w:val="left"/>
              <w:textAlignment w:val="center"/>
              <w:rPr>
                <w:rFonts w:ascii="等线" w:eastAsia="等线" w:hAnsi="等线" w:cs="等线"/>
                <w:b/>
                <w:color w:val="000000"/>
                <w:sz w:val="22"/>
              </w:rPr>
            </w:pPr>
            <w:r>
              <w:rPr>
                <w:rFonts w:ascii="等线" w:eastAsia="等线" w:hAnsi="等线" w:cs="等线" w:hint="eastAsia"/>
                <w:b/>
                <w:color w:val="000000"/>
                <w:kern w:val="0"/>
                <w:sz w:val="22"/>
                <w:lang w:bidi="ar"/>
              </w:rPr>
              <w:t>备注：</w:t>
            </w:r>
          </w:p>
        </w:tc>
        <w:tc>
          <w:tcPr>
            <w:tcW w:w="2055" w:type="dxa"/>
            <w:shd w:val="clear" w:color="auto" w:fill="auto"/>
            <w:vAlign w:val="bottom"/>
          </w:tcPr>
          <w:p w:rsidR="00F43A36" w:rsidRDefault="00F43A36">
            <w:pPr>
              <w:rPr>
                <w:rFonts w:ascii="等线" w:eastAsia="等线" w:hAnsi="等线" w:cs="等线"/>
                <w:color w:val="000000"/>
                <w:sz w:val="22"/>
              </w:rPr>
            </w:pPr>
          </w:p>
        </w:tc>
        <w:tc>
          <w:tcPr>
            <w:tcW w:w="1560" w:type="dxa"/>
            <w:shd w:val="clear" w:color="auto" w:fill="auto"/>
            <w:vAlign w:val="bottom"/>
          </w:tcPr>
          <w:p w:rsidR="00F43A36" w:rsidRDefault="00F43A36">
            <w:pPr>
              <w:rPr>
                <w:rFonts w:ascii="等线" w:eastAsia="等线" w:hAnsi="等线" w:cs="等线"/>
                <w:color w:val="000000"/>
                <w:sz w:val="22"/>
              </w:rPr>
            </w:pPr>
          </w:p>
        </w:tc>
        <w:tc>
          <w:tcPr>
            <w:tcW w:w="1410" w:type="dxa"/>
            <w:shd w:val="clear" w:color="auto" w:fill="auto"/>
            <w:vAlign w:val="bottom"/>
          </w:tcPr>
          <w:p w:rsidR="00F43A36" w:rsidRDefault="00F43A36">
            <w:pPr>
              <w:rPr>
                <w:rFonts w:ascii="等线" w:eastAsia="等线" w:hAnsi="等线" w:cs="等线"/>
                <w:color w:val="000000"/>
                <w:sz w:val="22"/>
              </w:rPr>
            </w:pPr>
          </w:p>
        </w:tc>
        <w:tc>
          <w:tcPr>
            <w:tcW w:w="1410" w:type="dxa"/>
            <w:shd w:val="clear" w:color="auto" w:fill="auto"/>
            <w:vAlign w:val="bottom"/>
          </w:tcPr>
          <w:p w:rsidR="00F43A36" w:rsidRDefault="00F43A36">
            <w:pPr>
              <w:rPr>
                <w:rFonts w:ascii="等线" w:eastAsia="等线" w:hAnsi="等线" w:cs="等线"/>
                <w:color w:val="000000"/>
                <w:sz w:val="22"/>
              </w:rPr>
            </w:pPr>
          </w:p>
        </w:tc>
        <w:tc>
          <w:tcPr>
            <w:tcW w:w="1320" w:type="dxa"/>
            <w:shd w:val="clear" w:color="auto" w:fill="auto"/>
            <w:vAlign w:val="bottom"/>
          </w:tcPr>
          <w:p w:rsidR="00F43A36" w:rsidRDefault="00F43A36">
            <w:pPr>
              <w:rPr>
                <w:rFonts w:ascii="等线" w:eastAsia="等线" w:hAnsi="等线" w:cs="等线"/>
                <w:color w:val="000000"/>
                <w:sz w:val="22"/>
              </w:rPr>
            </w:pPr>
          </w:p>
        </w:tc>
        <w:tc>
          <w:tcPr>
            <w:tcW w:w="1410" w:type="dxa"/>
            <w:shd w:val="clear" w:color="auto" w:fill="auto"/>
            <w:vAlign w:val="bottom"/>
          </w:tcPr>
          <w:p w:rsidR="00F43A36" w:rsidRDefault="00F43A36">
            <w:pPr>
              <w:rPr>
                <w:rFonts w:ascii="等线" w:eastAsia="等线" w:hAnsi="等线" w:cs="等线"/>
                <w:color w:val="000000"/>
                <w:sz w:val="22"/>
              </w:rPr>
            </w:pPr>
          </w:p>
        </w:tc>
        <w:tc>
          <w:tcPr>
            <w:tcW w:w="1590" w:type="dxa"/>
            <w:gridSpan w:val="2"/>
            <w:shd w:val="clear" w:color="auto" w:fill="auto"/>
            <w:vAlign w:val="bottom"/>
          </w:tcPr>
          <w:p w:rsidR="00F43A36" w:rsidRDefault="00F43A36">
            <w:pPr>
              <w:rPr>
                <w:rFonts w:ascii="等线" w:eastAsia="等线" w:hAnsi="等线" w:cs="等线"/>
                <w:color w:val="000000"/>
                <w:sz w:val="22"/>
              </w:rPr>
            </w:pPr>
          </w:p>
        </w:tc>
        <w:tc>
          <w:tcPr>
            <w:tcW w:w="1550" w:type="dxa"/>
            <w:shd w:val="clear" w:color="auto" w:fill="auto"/>
            <w:vAlign w:val="bottom"/>
          </w:tcPr>
          <w:p w:rsidR="00F43A36" w:rsidRDefault="00F43A36">
            <w:pPr>
              <w:rPr>
                <w:rFonts w:ascii="等线" w:eastAsia="等线" w:hAnsi="等线" w:cs="等线"/>
                <w:color w:val="000000"/>
                <w:sz w:val="22"/>
              </w:rPr>
            </w:pPr>
          </w:p>
        </w:tc>
      </w:tr>
      <w:tr w:rsidR="00F43A36">
        <w:trPr>
          <w:trHeight w:val="270"/>
        </w:trPr>
        <w:tc>
          <w:tcPr>
            <w:tcW w:w="13520" w:type="dxa"/>
            <w:gridSpan w:val="10"/>
            <w:shd w:val="clear" w:color="auto" w:fill="auto"/>
            <w:vAlign w:val="center"/>
          </w:tcPr>
          <w:p w:rsidR="00F43A36" w:rsidRDefault="00061A8A">
            <w:pPr>
              <w:widowControl/>
              <w:jc w:val="left"/>
              <w:textAlignment w:val="center"/>
              <w:rPr>
                <w:rFonts w:ascii="等线" w:eastAsia="等线" w:hAnsi="等线" w:cs="等线"/>
                <w:color w:val="000000"/>
                <w:sz w:val="22"/>
              </w:rPr>
            </w:pPr>
            <w:r>
              <w:rPr>
                <w:rFonts w:ascii="等线" w:eastAsia="等线" w:hAnsi="等线" w:cs="等线" w:hint="eastAsia"/>
                <w:color w:val="000000"/>
                <w:kern w:val="0"/>
                <w:sz w:val="22"/>
                <w:lang w:bidi="ar"/>
              </w:rPr>
              <w:t>1.“关联方名称”按营业执照填写法人或其他组织的全称。</w:t>
            </w:r>
          </w:p>
        </w:tc>
      </w:tr>
      <w:tr w:rsidR="00F43A36">
        <w:trPr>
          <w:trHeight w:val="405"/>
        </w:trPr>
        <w:tc>
          <w:tcPr>
            <w:tcW w:w="13520" w:type="dxa"/>
            <w:gridSpan w:val="10"/>
            <w:shd w:val="clear" w:color="auto" w:fill="auto"/>
            <w:vAlign w:val="center"/>
          </w:tcPr>
          <w:p w:rsidR="00F43A36" w:rsidRDefault="00061A8A">
            <w:pPr>
              <w:widowControl/>
              <w:jc w:val="left"/>
              <w:textAlignment w:val="center"/>
              <w:rPr>
                <w:rFonts w:ascii="等线" w:eastAsia="等线" w:hAnsi="等线" w:cs="等线"/>
                <w:color w:val="000000"/>
                <w:sz w:val="22"/>
              </w:rPr>
            </w:pPr>
            <w:r>
              <w:rPr>
                <w:rFonts w:ascii="等线" w:eastAsia="等线" w:hAnsi="等线" w:cs="等线" w:hint="eastAsia"/>
                <w:color w:val="000000"/>
                <w:kern w:val="0"/>
                <w:sz w:val="22"/>
                <w:lang w:bidi="ar"/>
              </w:rPr>
              <w:t>2.“关联关系”需描述出具体的关联关系，如“主要股东”、“XX支行副行长张某的妻弟担任法定代表人”。</w:t>
            </w:r>
          </w:p>
        </w:tc>
      </w:tr>
      <w:tr w:rsidR="00F43A36">
        <w:trPr>
          <w:trHeight w:val="270"/>
        </w:trPr>
        <w:tc>
          <w:tcPr>
            <w:tcW w:w="13520" w:type="dxa"/>
            <w:gridSpan w:val="10"/>
            <w:shd w:val="clear" w:color="auto" w:fill="auto"/>
            <w:vAlign w:val="center"/>
          </w:tcPr>
          <w:p w:rsidR="00F43A36" w:rsidRDefault="00061A8A">
            <w:pPr>
              <w:widowControl/>
              <w:jc w:val="left"/>
              <w:textAlignment w:val="center"/>
              <w:rPr>
                <w:rFonts w:ascii="等线" w:eastAsia="等线" w:hAnsi="等线" w:cs="等线"/>
                <w:color w:val="000000"/>
                <w:sz w:val="22"/>
              </w:rPr>
            </w:pPr>
            <w:r>
              <w:rPr>
                <w:rFonts w:ascii="等线" w:eastAsia="等线" w:hAnsi="等线" w:cs="等线" w:hint="eastAsia"/>
                <w:color w:val="000000"/>
                <w:kern w:val="0"/>
                <w:sz w:val="22"/>
                <w:lang w:bidi="ar"/>
              </w:rPr>
              <w:t>3.对新增或退出的关联方，在备注栏中标注“新增”或“退出”。</w:t>
            </w:r>
          </w:p>
        </w:tc>
      </w:tr>
    </w:tbl>
    <w:p w:rsidR="00F43A36" w:rsidRDefault="00F43A36">
      <w:pPr>
        <w:sectPr w:rsidR="00F43A36">
          <w:pgSz w:w="16838" w:h="11906" w:orient="landscape"/>
          <w:pgMar w:top="1800" w:right="1440" w:bottom="1800" w:left="1440" w:header="851" w:footer="992" w:gutter="0"/>
          <w:cols w:space="425"/>
          <w:docGrid w:type="lines" w:linePitch="312"/>
        </w:sectPr>
      </w:pPr>
    </w:p>
    <w:p w:rsidR="00F43A36" w:rsidRDefault="00061A8A">
      <w:pPr>
        <w:spacing w:line="560" w:lineRule="exact"/>
        <w:rPr>
          <w:rFonts w:ascii="方正仿宋_GBK" w:eastAsia="方正仿宋_GBK"/>
          <w:sz w:val="30"/>
          <w:szCs w:val="30"/>
        </w:rPr>
      </w:pPr>
      <w:r>
        <w:rPr>
          <w:rFonts w:ascii="方正仿宋_GBK" w:eastAsia="方正仿宋_GBK" w:hint="eastAsia"/>
          <w:sz w:val="30"/>
          <w:szCs w:val="30"/>
        </w:rPr>
        <w:lastRenderedPageBreak/>
        <w:t>附件4：</w:t>
      </w:r>
    </w:p>
    <w:p w:rsidR="00F43A36" w:rsidRDefault="00061A8A">
      <w:pPr>
        <w:spacing w:line="560" w:lineRule="exact"/>
        <w:jc w:val="center"/>
        <w:rPr>
          <w:rFonts w:ascii="黑体" w:eastAsia="黑体" w:hAnsi="黑体"/>
          <w:bCs/>
          <w:sz w:val="36"/>
          <w:szCs w:val="36"/>
        </w:rPr>
      </w:pPr>
      <w:r>
        <w:rPr>
          <w:rFonts w:ascii="黑体" w:eastAsia="黑体" w:hAnsi="黑体" w:hint="eastAsia"/>
          <w:bCs/>
          <w:sz w:val="36"/>
          <w:szCs w:val="36"/>
        </w:rPr>
        <w:t>关联交易相关定义</w:t>
      </w:r>
    </w:p>
    <w:p w:rsidR="00F43A36" w:rsidRDefault="00F43A36">
      <w:pPr>
        <w:spacing w:line="560" w:lineRule="exact"/>
        <w:ind w:firstLineChars="200" w:firstLine="602"/>
        <w:rPr>
          <w:rFonts w:ascii="方正仿宋_GBK" w:eastAsia="方正仿宋_GBK"/>
          <w:b/>
          <w:bCs/>
          <w:sz w:val="30"/>
          <w:szCs w:val="30"/>
        </w:rPr>
      </w:pPr>
    </w:p>
    <w:p w:rsidR="00F43A36" w:rsidRDefault="00061A8A">
      <w:pPr>
        <w:spacing w:line="560" w:lineRule="exact"/>
        <w:ind w:firstLineChars="200" w:firstLine="600"/>
        <w:rPr>
          <w:rFonts w:ascii="黑体" w:eastAsia="黑体" w:hAnsi="黑体"/>
          <w:bCs/>
          <w:sz w:val="30"/>
          <w:szCs w:val="30"/>
        </w:rPr>
      </w:pPr>
      <w:r>
        <w:rPr>
          <w:rFonts w:ascii="黑体" w:eastAsia="黑体" w:hAnsi="黑体" w:hint="eastAsia"/>
          <w:bCs/>
          <w:sz w:val="30"/>
          <w:szCs w:val="30"/>
        </w:rPr>
        <w:t>一、银保监会定义的关联交易</w:t>
      </w:r>
    </w:p>
    <w:p w:rsidR="00F43A36" w:rsidRDefault="00061A8A">
      <w:pPr>
        <w:spacing w:line="560" w:lineRule="exact"/>
        <w:ind w:firstLineChars="200" w:firstLine="600"/>
        <w:rPr>
          <w:rFonts w:ascii="方正仿宋_GBK" w:eastAsia="方正仿宋_GBK"/>
          <w:sz w:val="30"/>
          <w:szCs w:val="30"/>
        </w:rPr>
      </w:pPr>
      <w:r>
        <w:rPr>
          <w:rFonts w:ascii="方正仿宋_GBK" w:eastAsia="方正仿宋_GBK" w:hint="eastAsia"/>
          <w:sz w:val="30"/>
          <w:szCs w:val="30"/>
        </w:rPr>
        <w:t>银保监会定义的关联交易包括《商业银行与内部人和股东关联交易管理办法》和《商业银行股权管理暂行办法》定义的关联交易。</w:t>
      </w:r>
    </w:p>
    <w:p w:rsidR="00F43A36" w:rsidRDefault="00061A8A">
      <w:pPr>
        <w:spacing w:line="560" w:lineRule="exact"/>
        <w:ind w:firstLineChars="200" w:firstLine="602"/>
        <w:rPr>
          <w:rFonts w:ascii="方正仿宋_GBK" w:eastAsia="方正仿宋_GBK"/>
          <w:b/>
          <w:bCs/>
          <w:sz w:val="30"/>
          <w:szCs w:val="30"/>
        </w:rPr>
      </w:pPr>
      <w:r>
        <w:rPr>
          <w:rFonts w:ascii="方正仿宋_GBK" w:eastAsia="方正仿宋_GBK" w:hint="eastAsia"/>
          <w:b/>
          <w:bCs/>
          <w:sz w:val="30"/>
          <w:szCs w:val="30"/>
        </w:rPr>
        <w:t>（一）《商业银行与内部人和股东关联交易管理办法》定义的关联交易如下：</w:t>
      </w:r>
    </w:p>
    <w:p w:rsidR="00F43A36" w:rsidRDefault="00061A8A">
      <w:pPr>
        <w:spacing w:line="560" w:lineRule="exact"/>
        <w:ind w:firstLineChars="200" w:firstLine="600"/>
        <w:rPr>
          <w:rFonts w:ascii="方正仿宋_GBK" w:eastAsia="方正仿宋_GBK"/>
          <w:sz w:val="30"/>
          <w:szCs w:val="30"/>
        </w:rPr>
      </w:pPr>
      <w:r>
        <w:rPr>
          <w:rFonts w:ascii="方正仿宋_GBK" w:eastAsia="方正仿宋_GBK" w:hint="eastAsia"/>
          <w:sz w:val="30"/>
          <w:szCs w:val="30"/>
        </w:rPr>
        <w:t>第十八条　商业银行关联交易是指商业银行与关联方之间发生的转移资源或义务的下列事项：</w:t>
      </w:r>
    </w:p>
    <w:p w:rsidR="00F43A36" w:rsidRDefault="00061A8A">
      <w:pPr>
        <w:spacing w:line="560" w:lineRule="exact"/>
        <w:ind w:firstLineChars="200" w:firstLine="600"/>
        <w:rPr>
          <w:rFonts w:ascii="方正仿宋_GBK" w:eastAsia="方正仿宋_GBK"/>
          <w:sz w:val="30"/>
          <w:szCs w:val="30"/>
        </w:rPr>
      </w:pPr>
      <w:r>
        <w:rPr>
          <w:rFonts w:ascii="方正仿宋_GBK" w:eastAsia="方正仿宋_GBK" w:hint="eastAsia"/>
          <w:sz w:val="30"/>
          <w:szCs w:val="30"/>
        </w:rPr>
        <w:t xml:space="preserve">（一）授信； </w:t>
      </w:r>
    </w:p>
    <w:p w:rsidR="00F43A36" w:rsidRDefault="00061A8A">
      <w:pPr>
        <w:spacing w:line="560" w:lineRule="exact"/>
        <w:ind w:firstLineChars="200" w:firstLine="600"/>
        <w:rPr>
          <w:rFonts w:ascii="方正仿宋_GBK" w:eastAsia="方正仿宋_GBK"/>
          <w:sz w:val="30"/>
          <w:szCs w:val="30"/>
        </w:rPr>
      </w:pPr>
      <w:r>
        <w:rPr>
          <w:rFonts w:ascii="方正仿宋_GBK" w:eastAsia="方正仿宋_GBK" w:hint="eastAsia"/>
          <w:sz w:val="30"/>
          <w:szCs w:val="30"/>
        </w:rPr>
        <w:t>（二）资产转移；</w:t>
      </w:r>
    </w:p>
    <w:p w:rsidR="00F43A36" w:rsidRDefault="00061A8A">
      <w:pPr>
        <w:spacing w:line="560" w:lineRule="exact"/>
        <w:ind w:firstLineChars="200" w:firstLine="600"/>
        <w:rPr>
          <w:rFonts w:ascii="方正仿宋_GBK" w:eastAsia="方正仿宋_GBK"/>
          <w:sz w:val="30"/>
          <w:szCs w:val="30"/>
        </w:rPr>
      </w:pPr>
      <w:r>
        <w:rPr>
          <w:rFonts w:ascii="方正仿宋_GBK" w:eastAsia="方正仿宋_GBK" w:hint="eastAsia"/>
          <w:sz w:val="30"/>
          <w:szCs w:val="30"/>
        </w:rPr>
        <w:t>（三）提供服务；</w:t>
      </w:r>
    </w:p>
    <w:p w:rsidR="00F43A36" w:rsidRDefault="00061A8A">
      <w:pPr>
        <w:spacing w:line="560" w:lineRule="exact"/>
        <w:ind w:firstLineChars="200" w:firstLine="600"/>
        <w:rPr>
          <w:rFonts w:ascii="方正仿宋_GBK" w:eastAsia="方正仿宋_GBK"/>
          <w:sz w:val="30"/>
          <w:szCs w:val="30"/>
        </w:rPr>
      </w:pPr>
      <w:r>
        <w:rPr>
          <w:rFonts w:ascii="方正仿宋_GBK" w:eastAsia="方正仿宋_GBK" w:hint="eastAsia"/>
          <w:sz w:val="30"/>
          <w:szCs w:val="30"/>
        </w:rPr>
        <w:t>（四）中国银行业监督管理委员会规定的其他关联交易。</w:t>
      </w:r>
      <w:bookmarkStart w:id="47" w:name="#go18"/>
      <w:bookmarkEnd w:id="47"/>
    </w:p>
    <w:p w:rsidR="00F43A36" w:rsidRDefault="00061A8A">
      <w:pPr>
        <w:spacing w:line="560" w:lineRule="exact"/>
        <w:ind w:firstLineChars="200" w:firstLine="600"/>
        <w:rPr>
          <w:rFonts w:ascii="方正仿宋_GBK" w:eastAsia="方正仿宋_GBK"/>
          <w:sz w:val="30"/>
          <w:szCs w:val="30"/>
        </w:rPr>
      </w:pPr>
      <w:r>
        <w:rPr>
          <w:rFonts w:ascii="方正仿宋_GBK" w:eastAsia="方正仿宋_GBK" w:hint="eastAsia"/>
          <w:sz w:val="30"/>
          <w:szCs w:val="30"/>
        </w:rPr>
        <w:t>第十九条　授信是指商业银行向客户直接提供资金支持，或者对客户在有关经济活动中可能产生的赔偿、支付责任做出保证，包括贷款、贷款承诺、承兑、贴现、证券回购、贸易融资、保理、信用证、保函、透支、拆借、担保等表内外业务。</w:t>
      </w:r>
    </w:p>
    <w:p w:rsidR="00F43A36" w:rsidRDefault="00061A8A">
      <w:pPr>
        <w:spacing w:line="560" w:lineRule="exact"/>
        <w:ind w:firstLineChars="200" w:firstLine="600"/>
        <w:rPr>
          <w:rFonts w:ascii="方正仿宋_GBK" w:eastAsia="方正仿宋_GBK"/>
          <w:sz w:val="30"/>
          <w:szCs w:val="30"/>
        </w:rPr>
      </w:pPr>
      <w:r>
        <w:rPr>
          <w:rFonts w:ascii="方正仿宋_GBK" w:eastAsia="方正仿宋_GBK" w:hint="eastAsia"/>
          <w:sz w:val="30"/>
          <w:szCs w:val="30"/>
        </w:rPr>
        <w:t>第二十条　资产转移是指商业银行的自用动产与不动产的买卖、信贷资产的买卖以及抵债资产的接收和处置等。</w:t>
      </w:r>
      <w:bookmarkStart w:id="48" w:name="#go20"/>
      <w:bookmarkEnd w:id="48"/>
    </w:p>
    <w:p w:rsidR="00F43A36" w:rsidRDefault="00061A8A">
      <w:pPr>
        <w:spacing w:line="560" w:lineRule="exact"/>
        <w:ind w:firstLineChars="200" w:firstLine="600"/>
        <w:rPr>
          <w:rFonts w:ascii="方正仿宋_GBK" w:eastAsia="方正仿宋_GBK"/>
          <w:sz w:val="30"/>
          <w:szCs w:val="30"/>
        </w:rPr>
      </w:pPr>
      <w:r>
        <w:rPr>
          <w:rFonts w:ascii="方正仿宋_GBK" w:eastAsia="方正仿宋_GBK" w:hint="eastAsia"/>
          <w:sz w:val="30"/>
          <w:szCs w:val="30"/>
        </w:rPr>
        <w:t>第二十一条　提供服务是指向商业银行提供信用评估、资产评估、审计、法律等服务。</w:t>
      </w:r>
    </w:p>
    <w:p w:rsidR="00F43A36" w:rsidRDefault="00061A8A">
      <w:pPr>
        <w:pStyle w:val="cjk"/>
        <w:spacing w:after="0" w:afterAutospacing="0" w:line="560" w:lineRule="exact"/>
        <w:ind w:firstLine="480"/>
        <w:rPr>
          <w:rFonts w:ascii="方正仿宋_GBK" w:eastAsia="方正仿宋_GBK"/>
          <w:b/>
          <w:bCs/>
          <w:sz w:val="30"/>
          <w:szCs w:val="30"/>
        </w:rPr>
      </w:pPr>
      <w:r>
        <w:rPr>
          <w:rFonts w:ascii="方正仿宋_GBK" w:eastAsia="方正仿宋_GBK" w:hint="eastAsia"/>
          <w:b/>
          <w:bCs/>
          <w:sz w:val="30"/>
          <w:szCs w:val="30"/>
        </w:rPr>
        <w:t>（二）《商业银行股权管理暂行办法》定义的关联交易如下：</w:t>
      </w:r>
    </w:p>
    <w:p w:rsidR="00F43A36" w:rsidRDefault="00061A8A">
      <w:pPr>
        <w:spacing w:line="560" w:lineRule="exact"/>
        <w:ind w:firstLineChars="200" w:firstLine="600"/>
        <w:rPr>
          <w:rFonts w:ascii="方正仿宋_GBK" w:eastAsia="方正仿宋_GBK"/>
          <w:sz w:val="30"/>
          <w:szCs w:val="30"/>
        </w:rPr>
      </w:pPr>
      <w:r>
        <w:rPr>
          <w:rFonts w:ascii="方正仿宋_GBK" w:eastAsia="方正仿宋_GBK" w:hint="eastAsia"/>
          <w:sz w:val="30"/>
          <w:szCs w:val="30"/>
        </w:rPr>
        <w:lastRenderedPageBreak/>
        <w:t xml:space="preserve">第三十三条  </w:t>
      </w:r>
      <w:r>
        <w:rPr>
          <w:rFonts w:ascii="方正仿宋_GBK" w:eastAsia="方正仿宋_GBK" w:hint="eastAsia"/>
          <w:sz w:val="30"/>
          <w:szCs w:val="30"/>
        </w:rPr>
        <w:t> </w:t>
      </w:r>
      <w:r>
        <w:rPr>
          <w:rFonts w:ascii="方正仿宋_GBK" w:eastAsia="方正仿宋_GBK" w:hint="eastAsia"/>
          <w:sz w:val="30"/>
          <w:szCs w:val="30"/>
        </w:rPr>
        <w:t>商业银行对主要股东或其控股股东、实际控制人、关联方、一致行动人、最终受益人等单个主体的授信余额不得超过商业银行资本净额的百分之十。商业银行对单个主要股东及其控股股东、实际控制人、关联方、一致行动人、最终受益人的合计授信余额不得超过商业银行资本净额的百分之十五。</w:t>
      </w:r>
    </w:p>
    <w:p w:rsidR="00F43A36" w:rsidRDefault="00061A8A">
      <w:pPr>
        <w:spacing w:line="560" w:lineRule="exact"/>
        <w:ind w:firstLineChars="200" w:firstLine="600"/>
        <w:rPr>
          <w:rFonts w:ascii="方正仿宋_GBK" w:eastAsia="方正仿宋_GBK"/>
          <w:sz w:val="30"/>
          <w:szCs w:val="30"/>
        </w:rPr>
      </w:pPr>
      <w:r>
        <w:rPr>
          <w:rFonts w:ascii="方正仿宋_GBK" w:eastAsia="方正仿宋_GBK" w:hint="eastAsia"/>
          <w:sz w:val="30"/>
          <w:szCs w:val="30"/>
        </w:rPr>
        <w:t>前款中的授信，包括贷款（含贸易融资）、票据承兑和贴现、透支、债券投资、特定目的载体投资、开立信用证、保理、担保、贷款承诺，以及其他实质上由商业银行或商业银行发行的理财产品承担信用风险的业务。其中，商业银行应当按照穿透原则确认最终债务人。</w:t>
      </w:r>
    </w:p>
    <w:p w:rsidR="00F43A36" w:rsidRDefault="00061A8A">
      <w:pPr>
        <w:spacing w:line="560" w:lineRule="exact"/>
        <w:ind w:firstLineChars="200" w:firstLine="600"/>
        <w:rPr>
          <w:rFonts w:ascii="黑体" w:eastAsia="黑体" w:hAnsi="黑体"/>
          <w:bCs/>
          <w:sz w:val="30"/>
          <w:szCs w:val="30"/>
        </w:rPr>
      </w:pPr>
      <w:r>
        <w:rPr>
          <w:rFonts w:ascii="黑体" w:eastAsia="黑体" w:hAnsi="黑体" w:hint="eastAsia"/>
          <w:bCs/>
          <w:sz w:val="30"/>
          <w:szCs w:val="30"/>
        </w:rPr>
        <w:t>二、证监会《上市公司信息披露管理办法》定义的关联交易如下：</w:t>
      </w:r>
    </w:p>
    <w:p w:rsidR="00F43A36" w:rsidRDefault="00061A8A">
      <w:pPr>
        <w:spacing w:line="560" w:lineRule="exact"/>
        <w:ind w:firstLineChars="200" w:firstLine="600"/>
        <w:rPr>
          <w:rFonts w:ascii="方正仿宋_GBK" w:eastAsia="方正仿宋_GBK"/>
          <w:sz w:val="30"/>
          <w:szCs w:val="30"/>
        </w:rPr>
      </w:pPr>
      <w:r>
        <w:rPr>
          <w:rFonts w:ascii="方正仿宋_GBK" w:eastAsia="方正仿宋_GBK" w:hint="eastAsia"/>
          <w:sz w:val="30"/>
          <w:szCs w:val="30"/>
        </w:rPr>
        <w:t>第七十一条</w:t>
      </w:r>
      <w:r>
        <w:rPr>
          <w:rFonts w:ascii="方正仿宋_GBK" w:eastAsia="方正仿宋_GBK"/>
          <w:sz w:val="30"/>
          <w:szCs w:val="30"/>
        </w:rPr>
        <w:t> </w:t>
      </w:r>
      <w:r>
        <w:rPr>
          <w:rFonts w:ascii="方正仿宋_GBK" w:eastAsia="方正仿宋_GBK" w:hint="eastAsia"/>
          <w:sz w:val="30"/>
          <w:szCs w:val="30"/>
        </w:rPr>
        <w:t xml:space="preserve">本办法下列用语的含义： </w:t>
      </w:r>
    </w:p>
    <w:p w:rsidR="00F43A36" w:rsidRDefault="00061A8A">
      <w:pPr>
        <w:widowControl/>
        <w:spacing w:before="100" w:beforeAutospacing="1" w:after="100" w:afterAutospacing="1" w:line="560" w:lineRule="exact"/>
        <w:ind w:firstLineChars="200" w:firstLine="600"/>
        <w:jc w:val="left"/>
        <w:rPr>
          <w:rFonts w:ascii="方正仿宋_GBK" w:eastAsia="方正仿宋_GBK"/>
          <w:sz w:val="30"/>
          <w:szCs w:val="30"/>
        </w:rPr>
      </w:pPr>
      <w:r>
        <w:rPr>
          <w:rFonts w:ascii="方正仿宋_GBK" w:eastAsia="方正仿宋_GBK" w:hint="eastAsia"/>
          <w:sz w:val="30"/>
          <w:szCs w:val="30"/>
        </w:rPr>
        <w:t xml:space="preserve">（三）上市公司的关联交易，是指上市公司或者其控股子公司与上市公司关联人之间发生的转移资源或者义务的事项。 </w:t>
      </w:r>
    </w:p>
    <w:p w:rsidR="00F43A36" w:rsidRDefault="00061A8A">
      <w:pPr>
        <w:spacing w:line="560" w:lineRule="exact"/>
        <w:ind w:firstLineChars="200" w:firstLine="600"/>
        <w:rPr>
          <w:rFonts w:ascii="黑体" w:eastAsia="黑体" w:hAnsi="黑体"/>
          <w:bCs/>
          <w:sz w:val="30"/>
          <w:szCs w:val="30"/>
        </w:rPr>
      </w:pPr>
      <w:r>
        <w:rPr>
          <w:rFonts w:ascii="黑体" w:eastAsia="黑体" w:hAnsi="黑体" w:hint="eastAsia"/>
          <w:bCs/>
          <w:sz w:val="30"/>
          <w:szCs w:val="30"/>
        </w:rPr>
        <w:t>三、证监会《公开发行证券的公司信息披露编报规则第26号-商业银行信息披露特别规定》定义的关联交易如下：</w:t>
      </w:r>
    </w:p>
    <w:p w:rsidR="00F43A36" w:rsidRDefault="00061A8A">
      <w:pPr>
        <w:spacing w:line="560" w:lineRule="exact"/>
        <w:ind w:firstLineChars="200" w:firstLine="600"/>
        <w:rPr>
          <w:rFonts w:ascii="方正仿宋_GBK" w:eastAsia="方正仿宋_GBK"/>
          <w:sz w:val="30"/>
          <w:szCs w:val="30"/>
        </w:rPr>
      </w:pPr>
      <w:r>
        <w:rPr>
          <w:rFonts w:ascii="方正仿宋_GBK" w:eastAsia="方正仿宋_GBK" w:hint="eastAsia"/>
          <w:sz w:val="30"/>
          <w:szCs w:val="30"/>
        </w:rPr>
        <w:t>第二十二条 商业银行关联交易包括与关联方之间发生的各类贷款、信贷承诺、证券回购、拆借、担保、债券投资等表内、外业务，资产转移向商业银行提供服务等交易。</w:t>
      </w:r>
    </w:p>
    <w:p w:rsidR="00F43A36" w:rsidRDefault="00061A8A">
      <w:pPr>
        <w:spacing w:line="560" w:lineRule="exact"/>
        <w:ind w:firstLineChars="200" w:firstLine="600"/>
        <w:rPr>
          <w:rFonts w:ascii="黑体" w:eastAsia="黑体" w:hAnsi="黑体"/>
          <w:bCs/>
          <w:sz w:val="30"/>
          <w:szCs w:val="30"/>
        </w:rPr>
      </w:pPr>
      <w:r>
        <w:rPr>
          <w:rFonts w:ascii="黑体" w:eastAsia="黑体" w:hAnsi="黑体" w:hint="eastAsia"/>
          <w:bCs/>
          <w:sz w:val="30"/>
          <w:szCs w:val="30"/>
        </w:rPr>
        <w:t>四、《上海证券交易所股票上市规则》定义的关联交易如下：</w:t>
      </w:r>
    </w:p>
    <w:p w:rsidR="00F43A36" w:rsidRDefault="00061A8A">
      <w:pPr>
        <w:spacing w:line="560" w:lineRule="exact"/>
        <w:ind w:firstLineChars="200" w:firstLine="600"/>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10.1.1 </w:t>
      </w:r>
      <w:r>
        <w:rPr>
          <w:rFonts w:ascii="Times New Roman" w:eastAsia="方正仿宋_GBK" w:hAnsi="Times New Roman" w:cs="Times New Roman"/>
          <w:sz w:val="30"/>
          <w:szCs w:val="30"/>
        </w:rPr>
        <w:t>上市公司的关联交易，是指上市公司或者其控股子公司与上市公司关联人之间发生的转移资源或者义务的事项，包括</w:t>
      </w:r>
      <w:r>
        <w:rPr>
          <w:rFonts w:ascii="Times New Roman" w:eastAsia="方正仿宋_GBK" w:hAnsi="Times New Roman" w:cs="Times New Roman"/>
          <w:sz w:val="30"/>
          <w:szCs w:val="30"/>
        </w:rPr>
        <w:lastRenderedPageBreak/>
        <w:t>以下交易：</w:t>
      </w:r>
    </w:p>
    <w:p w:rsidR="00F43A36" w:rsidRDefault="00061A8A">
      <w:pPr>
        <w:spacing w:line="560" w:lineRule="exact"/>
        <w:ind w:firstLineChars="150" w:firstLine="450"/>
        <w:rPr>
          <w:rFonts w:ascii="Times New Roman" w:eastAsia="方正仿宋_GBK" w:hAnsi="Times New Roman" w:cs="Times New Roman"/>
          <w:sz w:val="30"/>
          <w:szCs w:val="30"/>
        </w:rPr>
      </w:pPr>
      <w:r>
        <w:rPr>
          <w:rFonts w:ascii="Times New Roman" w:eastAsia="方正仿宋_GBK" w:hAnsi="Times New Roman" w:cs="Times New Roman"/>
          <w:sz w:val="30"/>
          <w:szCs w:val="30"/>
        </w:rPr>
        <w:t>（一）第</w:t>
      </w:r>
      <w:r>
        <w:rPr>
          <w:rFonts w:ascii="Times New Roman" w:eastAsia="方正仿宋_GBK" w:hAnsi="Times New Roman" w:cs="Times New Roman"/>
          <w:sz w:val="30"/>
          <w:szCs w:val="30"/>
        </w:rPr>
        <w:t>9.1</w:t>
      </w:r>
      <w:r>
        <w:rPr>
          <w:rFonts w:ascii="Times New Roman" w:eastAsia="方正仿宋_GBK" w:hAnsi="Times New Roman" w:cs="Times New Roman"/>
          <w:sz w:val="30"/>
          <w:szCs w:val="30"/>
        </w:rPr>
        <w:t>条规定的交易事项；</w:t>
      </w:r>
    </w:p>
    <w:p w:rsidR="00F43A36" w:rsidRDefault="00061A8A">
      <w:pPr>
        <w:spacing w:line="560" w:lineRule="exact"/>
        <w:ind w:firstLine="480"/>
        <w:rPr>
          <w:rFonts w:ascii="Times New Roman" w:eastAsia="方正仿宋_GBK" w:hAnsi="Times New Roman" w:cs="Times New Roman"/>
          <w:sz w:val="30"/>
          <w:szCs w:val="30"/>
        </w:rPr>
      </w:pPr>
      <w:r>
        <w:rPr>
          <w:rFonts w:ascii="Times New Roman" w:eastAsia="方正仿宋_GBK" w:hAnsi="Times New Roman" w:cs="Times New Roman"/>
          <w:sz w:val="30"/>
          <w:szCs w:val="30"/>
        </w:rPr>
        <w:t>（二）购买原材料、燃料、动力；</w:t>
      </w:r>
    </w:p>
    <w:p w:rsidR="00F43A36" w:rsidRDefault="00061A8A">
      <w:pPr>
        <w:spacing w:line="560" w:lineRule="exact"/>
        <w:ind w:firstLine="480"/>
        <w:rPr>
          <w:rFonts w:ascii="Times New Roman" w:eastAsia="方正仿宋_GBK" w:hAnsi="Times New Roman" w:cs="Times New Roman"/>
          <w:sz w:val="30"/>
          <w:szCs w:val="30"/>
        </w:rPr>
      </w:pPr>
      <w:r>
        <w:rPr>
          <w:rFonts w:ascii="Times New Roman" w:eastAsia="方正仿宋_GBK" w:hAnsi="Times New Roman" w:cs="Times New Roman"/>
          <w:sz w:val="30"/>
          <w:szCs w:val="30"/>
        </w:rPr>
        <w:t>（三）销售产品、商品；</w:t>
      </w:r>
    </w:p>
    <w:p w:rsidR="00F43A36" w:rsidRDefault="00061A8A">
      <w:pPr>
        <w:spacing w:line="560" w:lineRule="exact"/>
        <w:ind w:firstLine="480"/>
        <w:rPr>
          <w:rFonts w:ascii="Times New Roman" w:eastAsia="方正仿宋_GBK" w:hAnsi="Times New Roman" w:cs="Times New Roman"/>
          <w:sz w:val="30"/>
          <w:szCs w:val="30"/>
        </w:rPr>
      </w:pPr>
      <w:r>
        <w:rPr>
          <w:rFonts w:ascii="Times New Roman" w:eastAsia="方正仿宋_GBK" w:hAnsi="Times New Roman" w:cs="Times New Roman"/>
          <w:sz w:val="30"/>
          <w:szCs w:val="30"/>
        </w:rPr>
        <w:t>（四）提供或者接受劳务；</w:t>
      </w:r>
    </w:p>
    <w:p w:rsidR="00F43A36" w:rsidRDefault="00061A8A">
      <w:pPr>
        <w:spacing w:line="560" w:lineRule="exact"/>
        <w:ind w:firstLine="480"/>
        <w:rPr>
          <w:rFonts w:ascii="Times New Roman" w:eastAsia="方正仿宋_GBK" w:hAnsi="Times New Roman" w:cs="Times New Roman"/>
          <w:sz w:val="30"/>
          <w:szCs w:val="30"/>
        </w:rPr>
      </w:pPr>
      <w:r>
        <w:rPr>
          <w:rFonts w:ascii="Times New Roman" w:eastAsia="方正仿宋_GBK" w:hAnsi="Times New Roman" w:cs="Times New Roman"/>
          <w:sz w:val="30"/>
          <w:szCs w:val="30"/>
        </w:rPr>
        <w:t>（五）委托或者受托销售；</w:t>
      </w:r>
    </w:p>
    <w:p w:rsidR="00F43A36" w:rsidRDefault="00061A8A">
      <w:pPr>
        <w:spacing w:line="560" w:lineRule="exact"/>
        <w:ind w:firstLine="480"/>
        <w:rPr>
          <w:rFonts w:ascii="Times New Roman" w:eastAsia="方正仿宋_GBK" w:hAnsi="Times New Roman" w:cs="Times New Roman"/>
          <w:sz w:val="30"/>
          <w:szCs w:val="30"/>
        </w:rPr>
      </w:pPr>
      <w:r>
        <w:rPr>
          <w:rFonts w:ascii="Times New Roman" w:eastAsia="方正仿宋_GBK" w:hAnsi="Times New Roman" w:cs="Times New Roman"/>
          <w:sz w:val="30"/>
          <w:szCs w:val="30"/>
        </w:rPr>
        <w:t>（六）在关联人财务公司存贷款；</w:t>
      </w:r>
      <w:r>
        <w:rPr>
          <w:rFonts w:ascii="Times New Roman" w:eastAsia="方正仿宋_GBK" w:hAnsi="Times New Roman" w:cs="Times New Roman"/>
          <w:sz w:val="30"/>
          <w:szCs w:val="30"/>
        </w:rPr>
        <w:t xml:space="preserve"> </w:t>
      </w:r>
    </w:p>
    <w:p w:rsidR="00F43A36" w:rsidRDefault="00061A8A">
      <w:pPr>
        <w:spacing w:line="560" w:lineRule="exact"/>
        <w:ind w:firstLine="480"/>
        <w:rPr>
          <w:rFonts w:ascii="Times New Roman" w:eastAsia="方正仿宋_GBK" w:hAnsi="Times New Roman" w:cs="Times New Roman"/>
          <w:sz w:val="30"/>
          <w:szCs w:val="30"/>
        </w:rPr>
      </w:pPr>
      <w:r>
        <w:rPr>
          <w:rFonts w:ascii="Times New Roman" w:eastAsia="方正仿宋_GBK" w:hAnsi="Times New Roman" w:cs="Times New Roman"/>
          <w:sz w:val="30"/>
          <w:szCs w:val="30"/>
        </w:rPr>
        <w:t>（七）与关联人共同投资；</w:t>
      </w:r>
    </w:p>
    <w:p w:rsidR="00F43A36" w:rsidRDefault="00061A8A">
      <w:pPr>
        <w:spacing w:line="560" w:lineRule="exact"/>
        <w:ind w:firstLine="480"/>
        <w:rPr>
          <w:rFonts w:ascii="Times New Roman" w:eastAsia="方正仿宋_GBK" w:hAnsi="Times New Roman" w:cs="Times New Roman"/>
          <w:sz w:val="30"/>
          <w:szCs w:val="30"/>
        </w:rPr>
      </w:pPr>
      <w:r>
        <w:rPr>
          <w:rFonts w:ascii="Times New Roman" w:eastAsia="方正仿宋_GBK" w:hAnsi="Times New Roman" w:cs="Times New Roman"/>
          <w:sz w:val="30"/>
          <w:szCs w:val="30"/>
        </w:rPr>
        <w:t>（八）其他通过约定可能引致资源或者义务转移的事项。</w:t>
      </w:r>
    </w:p>
    <w:p w:rsidR="00F43A36" w:rsidRDefault="00061A8A">
      <w:pPr>
        <w:spacing w:line="560" w:lineRule="exact"/>
        <w:ind w:firstLineChars="200" w:firstLine="600"/>
        <w:rPr>
          <w:rFonts w:ascii="Times New Roman" w:eastAsia="方正仿宋_GBK" w:hAnsi="Times New Roman" w:cs="Times New Roman"/>
          <w:sz w:val="30"/>
          <w:szCs w:val="30"/>
        </w:rPr>
      </w:pPr>
      <w:r>
        <w:rPr>
          <w:rFonts w:ascii="Times New Roman" w:eastAsia="方正仿宋_GBK" w:hAnsi="Times New Roman" w:cs="Times New Roman"/>
          <w:sz w:val="30"/>
          <w:szCs w:val="30"/>
        </w:rPr>
        <w:t>9.1</w:t>
      </w:r>
      <w:r>
        <w:rPr>
          <w:rFonts w:ascii="Times New Roman" w:eastAsia="方正仿宋_GBK" w:hAnsi="Times New Roman" w:cs="Times New Roman"/>
          <w:sz w:val="30"/>
          <w:szCs w:val="30"/>
        </w:rPr>
        <w:t>本章所称</w:t>
      </w:r>
      <w:r>
        <w:rPr>
          <w:rFonts w:ascii="Times New Roman" w:eastAsia="方正仿宋_GBK" w:hAnsi="Times New Roman" w:cs="Times New Roman"/>
          <w:sz w:val="30"/>
          <w:szCs w:val="30"/>
        </w:rPr>
        <w:t>“</w:t>
      </w:r>
      <w:r>
        <w:rPr>
          <w:rFonts w:ascii="Times New Roman" w:eastAsia="方正仿宋_GBK" w:hAnsi="Times New Roman" w:cs="Times New Roman"/>
          <w:sz w:val="30"/>
          <w:szCs w:val="30"/>
        </w:rPr>
        <w:t>交易</w:t>
      </w:r>
      <w:r>
        <w:rPr>
          <w:rFonts w:ascii="Times New Roman" w:eastAsia="方正仿宋_GBK" w:hAnsi="Times New Roman" w:cs="Times New Roman"/>
          <w:sz w:val="30"/>
          <w:szCs w:val="30"/>
        </w:rPr>
        <w:t>”</w:t>
      </w:r>
      <w:r>
        <w:rPr>
          <w:rFonts w:ascii="Times New Roman" w:eastAsia="方正仿宋_GBK" w:hAnsi="Times New Roman" w:cs="Times New Roman"/>
          <w:sz w:val="30"/>
          <w:szCs w:val="30"/>
        </w:rPr>
        <w:t>包括下列事项：</w:t>
      </w:r>
    </w:p>
    <w:p w:rsidR="00F43A36" w:rsidRDefault="00061A8A">
      <w:pPr>
        <w:spacing w:line="560" w:lineRule="exact"/>
        <w:ind w:firstLineChars="200" w:firstLine="600"/>
        <w:rPr>
          <w:rFonts w:ascii="Times New Roman" w:eastAsia="方正仿宋_GBK" w:hAnsi="Times New Roman" w:cs="Times New Roman"/>
          <w:sz w:val="30"/>
          <w:szCs w:val="30"/>
        </w:rPr>
      </w:pPr>
      <w:r>
        <w:rPr>
          <w:rFonts w:ascii="Times New Roman" w:eastAsia="方正仿宋_GBK" w:hAnsi="Times New Roman" w:cs="Times New Roman"/>
          <w:sz w:val="30"/>
          <w:szCs w:val="30"/>
        </w:rPr>
        <w:t>（一）购买或者出售资产；</w:t>
      </w:r>
    </w:p>
    <w:p w:rsidR="00F43A36" w:rsidRDefault="00061A8A">
      <w:pPr>
        <w:spacing w:line="560" w:lineRule="exact"/>
        <w:ind w:firstLineChars="200" w:firstLine="600"/>
        <w:rPr>
          <w:rFonts w:ascii="Times New Roman" w:eastAsia="方正仿宋_GBK" w:hAnsi="Times New Roman" w:cs="Times New Roman"/>
          <w:sz w:val="30"/>
          <w:szCs w:val="30"/>
        </w:rPr>
      </w:pPr>
      <w:r>
        <w:rPr>
          <w:rFonts w:ascii="Times New Roman" w:eastAsia="方正仿宋_GBK" w:hAnsi="Times New Roman" w:cs="Times New Roman"/>
          <w:sz w:val="30"/>
          <w:szCs w:val="30"/>
        </w:rPr>
        <w:t>（二）对外投资（含委托理财、委托贷款等）；</w:t>
      </w:r>
    </w:p>
    <w:p w:rsidR="00F43A36" w:rsidRDefault="00061A8A">
      <w:pPr>
        <w:spacing w:line="560" w:lineRule="exact"/>
        <w:ind w:firstLineChars="200" w:firstLine="600"/>
        <w:rPr>
          <w:rFonts w:ascii="Times New Roman" w:eastAsia="方正仿宋_GBK" w:hAnsi="Times New Roman" w:cs="Times New Roman"/>
          <w:sz w:val="30"/>
          <w:szCs w:val="30"/>
        </w:rPr>
      </w:pPr>
      <w:r>
        <w:rPr>
          <w:rFonts w:ascii="Times New Roman" w:eastAsia="方正仿宋_GBK" w:hAnsi="Times New Roman" w:cs="Times New Roman"/>
          <w:sz w:val="30"/>
          <w:szCs w:val="30"/>
        </w:rPr>
        <w:t>（三）提供财务资助；</w:t>
      </w:r>
    </w:p>
    <w:p w:rsidR="00F43A36" w:rsidRDefault="00061A8A">
      <w:pPr>
        <w:spacing w:line="560" w:lineRule="exact"/>
        <w:ind w:firstLineChars="200" w:firstLine="600"/>
        <w:rPr>
          <w:rFonts w:ascii="Times New Roman" w:eastAsia="方正仿宋_GBK" w:hAnsi="Times New Roman" w:cs="Times New Roman"/>
          <w:sz w:val="30"/>
          <w:szCs w:val="30"/>
        </w:rPr>
      </w:pPr>
      <w:r>
        <w:rPr>
          <w:rFonts w:ascii="Times New Roman" w:eastAsia="方正仿宋_GBK" w:hAnsi="Times New Roman" w:cs="Times New Roman"/>
          <w:sz w:val="30"/>
          <w:szCs w:val="30"/>
        </w:rPr>
        <w:t>（四）提供担保；</w:t>
      </w:r>
    </w:p>
    <w:p w:rsidR="00F43A36" w:rsidRDefault="00061A8A">
      <w:pPr>
        <w:spacing w:line="560" w:lineRule="exact"/>
        <w:ind w:firstLineChars="200" w:firstLine="600"/>
        <w:rPr>
          <w:rFonts w:ascii="Times New Roman" w:eastAsia="方正仿宋_GBK" w:hAnsi="Times New Roman" w:cs="Times New Roman"/>
          <w:sz w:val="30"/>
          <w:szCs w:val="30"/>
        </w:rPr>
      </w:pPr>
      <w:r>
        <w:rPr>
          <w:rFonts w:ascii="Times New Roman" w:eastAsia="方正仿宋_GBK" w:hAnsi="Times New Roman" w:cs="Times New Roman"/>
          <w:sz w:val="30"/>
          <w:szCs w:val="30"/>
        </w:rPr>
        <w:t>（五）租入或者租出资产；</w:t>
      </w:r>
    </w:p>
    <w:p w:rsidR="00F43A36" w:rsidRDefault="00061A8A">
      <w:pPr>
        <w:spacing w:line="560" w:lineRule="exact"/>
        <w:ind w:firstLineChars="200" w:firstLine="600"/>
        <w:rPr>
          <w:rFonts w:ascii="Times New Roman" w:eastAsia="方正仿宋_GBK" w:hAnsi="Times New Roman" w:cs="Times New Roman"/>
          <w:sz w:val="30"/>
          <w:szCs w:val="30"/>
        </w:rPr>
      </w:pPr>
      <w:r>
        <w:rPr>
          <w:rFonts w:ascii="Times New Roman" w:eastAsia="方正仿宋_GBK" w:hAnsi="Times New Roman" w:cs="Times New Roman"/>
          <w:sz w:val="30"/>
          <w:szCs w:val="30"/>
        </w:rPr>
        <w:t>（六）委托或者受托管理资产和业务；</w:t>
      </w:r>
    </w:p>
    <w:p w:rsidR="00F43A36" w:rsidRDefault="00061A8A">
      <w:pPr>
        <w:spacing w:line="560" w:lineRule="exact"/>
        <w:ind w:firstLineChars="200" w:firstLine="600"/>
        <w:rPr>
          <w:rFonts w:ascii="Times New Roman" w:eastAsia="方正仿宋_GBK" w:hAnsi="Times New Roman" w:cs="Times New Roman"/>
          <w:sz w:val="30"/>
          <w:szCs w:val="30"/>
        </w:rPr>
      </w:pPr>
      <w:r>
        <w:rPr>
          <w:rFonts w:ascii="Times New Roman" w:eastAsia="方正仿宋_GBK" w:hAnsi="Times New Roman" w:cs="Times New Roman"/>
          <w:sz w:val="30"/>
          <w:szCs w:val="30"/>
        </w:rPr>
        <w:t>（七）赠与或者受赠资产；</w:t>
      </w:r>
    </w:p>
    <w:p w:rsidR="00F43A36" w:rsidRDefault="00061A8A">
      <w:pPr>
        <w:spacing w:line="560" w:lineRule="exact"/>
        <w:ind w:firstLineChars="200" w:firstLine="600"/>
        <w:rPr>
          <w:rFonts w:ascii="Times New Roman" w:eastAsia="方正仿宋_GBK" w:hAnsi="Times New Roman" w:cs="Times New Roman"/>
          <w:sz w:val="30"/>
          <w:szCs w:val="30"/>
        </w:rPr>
      </w:pPr>
      <w:r>
        <w:rPr>
          <w:rFonts w:ascii="Times New Roman" w:eastAsia="方正仿宋_GBK" w:hAnsi="Times New Roman" w:cs="Times New Roman"/>
          <w:sz w:val="30"/>
          <w:szCs w:val="30"/>
        </w:rPr>
        <w:t>（八）债权、债务重组；</w:t>
      </w:r>
    </w:p>
    <w:p w:rsidR="00F43A36" w:rsidRDefault="00061A8A">
      <w:pPr>
        <w:spacing w:line="560" w:lineRule="exact"/>
        <w:ind w:firstLineChars="200" w:firstLine="600"/>
        <w:rPr>
          <w:rFonts w:ascii="Times New Roman" w:eastAsia="方正仿宋_GBK" w:hAnsi="Times New Roman" w:cs="Times New Roman"/>
          <w:sz w:val="30"/>
          <w:szCs w:val="30"/>
        </w:rPr>
      </w:pPr>
      <w:r>
        <w:rPr>
          <w:rFonts w:ascii="Times New Roman" w:eastAsia="方正仿宋_GBK" w:hAnsi="Times New Roman" w:cs="Times New Roman"/>
          <w:sz w:val="30"/>
          <w:szCs w:val="30"/>
        </w:rPr>
        <w:t>（九）签订许可使用协议；</w:t>
      </w:r>
    </w:p>
    <w:p w:rsidR="00F43A36" w:rsidRDefault="00061A8A">
      <w:pPr>
        <w:spacing w:line="560" w:lineRule="exact"/>
        <w:ind w:firstLineChars="200" w:firstLine="600"/>
        <w:rPr>
          <w:rFonts w:ascii="Times New Roman" w:eastAsia="方正仿宋_GBK" w:hAnsi="Times New Roman" w:cs="Times New Roman"/>
          <w:sz w:val="30"/>
          <w:szCs w:val="30"/>
        </w:rPr>
      </w:pPr>
      <w:r>
        <w:rPr>
          <w:rFonts w:ascii="Times New Roman" w:eastAsia="方正仿宋_GBK" w:hAnsi="Times New Roman" w:cs="Times New Roman"/>
          <w:sz w:val="30"/>
          <w:szCs w:val="30"/>
        </w:rPr>
        <w:t>（十）转让或者受让研究与开发项目；</w:t>
      </w:r>
    </w:p>
    <w:p w:rsidR="00F43A36" w:rsidRDefault="00061A8A">
      <w:pPr>
        <w:spacing w:line="560" w:lineRule="exact"/>
        <w:ind w:firstLineChars="200" w:firstLine="600"/>
        <w:rPr>
          <w:rFonts w:ascii="Times New Roman" w:eastAsia="方正仿宋_GBK" w:hAnsi="Times New Roman" w:cs="Times New Roman"/>
          <w:sz w:val="30"/>
          <w:szCs w:val="30"/>
        </w:rPr>
      </w:pPr>
      <w:r>
        <w:rPr>
          <w:rFonts w:ascii="Times New Roman" w:eastAsia="方正仿宋_GBK" w:hAnsi="Times New Roman" w:cs="Times New Roman"/>
          <w:sz w:val="30"/>
          <w:szCs w:val="30"/>
        </w:rPr>
        <w:t>（十一）本所认定的其他交易。</w:t>
      </w:r>
    </w:p>
    <w:p w:rsidR="00F43A36" w:rsidRDefault="00061A8A">
      <w:pPr>
        <w:spacing w:line="560" w:lineRule="exact"/>
        <w:ind w:firstLineChars="200" w:firstLine="600"/>
        <w:rPr>
          <w:rFonts w:ascii="方正仿宋_GBK" w:eastAsia="方正仿宋_GBK"/>
          <w:sz w:val="30"/>
          <w:szCs w:val="30"/>
        </w:rPr>
      </w:pPr>
      <w:r>
        <w:rPr>
          <w:rFonts w:ascii="方正仿宋_GBK" w:eastAsia="方正仿宋_GBK" w:hint="eastAsia"/>
          <w:sz w:val="30"/>
          <w:szCs w:val="30"/>
        </w:rPr>
        <w:t>上述购买或者出售资产，不包括购买原材料、燃料和动力，以及出售产品、商品等与日常经营相关的资产购买或者出售行为，但资产置换中涉及到的此类资产购买或者出售行为，仍包括</w:t>
      </w:r>
      <w:r>
        <w:rPr>
          <w:rFonts w:ascii="方正仿宋_GBK" w:eastAsia="方正仿宋_GBK" w:hint="eastAsia"/>
          <w:sz w:val="30"/>
          <w:szCs w:val="30"/>
        </w:rPr>
        <w:lastRenderedPageBreak/>
        <w:t>在内。</w:t>
      </w:r>
    </w:p>
    <w:p w:rsidR="00F43A36" w:rsidRDefault="00061A8A">
      <w:pPr>
        <w:spacing w:line="560" w:lineRule="exact"/>
        <w:ind w:firstLineChars="200" w:firstLine="600"/>
        <w:rPr>
          <w:rFonts w:ascii="黑体" w:eastAsia="黑体" w:hAnsi="黑体"/>
          <w:bCs/>
          <w:sz w:val="30"/>
          <w:szCs w:val="30"/>
        </w:rPr>
      </w:pPr>
      <w:r>
        <w:rPr>
          <w:rFonts w:ascii="黑体" w:eastAsia="黑体" w:hAnsi="黑体" w:hint="eastAsia"/>
          <w:bCs/>
          <w:sz w:val="30"/>
          <w:szCs w:val="30"/>
        </w:rPr>
        <w:t>五、香港联合交易所《香港联合交易所有限公司证券上市规则》定义的关联交易如下：</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14A.24 </w:t>
      </w:r>
      <w:r>
        <w:rPr>
          <w:rFonts w:ascii="Times New Roman" w:eastAsia="方正仿宋_GBK" w:hAnsi="Times New Roman" w:cs="Times New Roman"/>
          <w:sz w:val="30"/>
          <w:szCs w:val="30"/>
        </w:rPr>
        <w:t>「交易」包括资本性质和收益性质的交易，不论该交易是否在上市发行人集团的日常业务中进行。这包括以下类别的交易：</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(1) </w:t>
      </w:r>
      <w:r>
        <w:rPr>
          <w:rFonts w:ascii="Times New Roman" w:eastAsia="方正仿宋_GBK" w:hAnsi="Times New Roman" w:cs="Times New Roman"/>
          <w:sz w:val="30"/>
          <w:szCs w:val="30"/>
        </w:rPr>
        <w:t>上市发行人集团购入或出售资产，包括视作出售事项；</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(2) (a) </w:t>
      </w:r>
      <w:r>
        <w:rPr>
          <w:rFonts w:ascii="Times New Roman" w:eastAsia="方正仿宋_GBK" w:hAnsi="Times New Roman" w:cs="Times New Roman"/>
          <w:sz w:val="30"/>
          <w:szCs w:val="30"/>
        </w:rPr>
        <w:t>上市发行人集团授出、接受、行使、转让或终止一项选择权，以购入或出售资产，又或认购证券；或</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注：</w:t>
      </w:r>
      <w:r>
        <w:rPr>
          <w:rFonts w:ascii="Times New Roman" w:eastAsia="方正仿宋_GBK" w:hAnsi="Times New Roman" w:cs="Times New Roman"/>
          <w:sz w:val="30"/>
          <w:szCs w:val="30"/>
        </w:rPr>
        <w:t xml:space="preserve"> </w:t>
      </w:r>
      <w:r>
        <w:rPr>
          <w:rFonts w:ascii="Times New Roman" w:eastAsia="方正仿宋_GBK" w:hAnsi="Times New Roman" w:cs="Times New Roman"/>
          <w:sz w:val="30"/>
          <w:szCs w:val="30"/>
        </w:rPr>
        <w:t>若按原来签订的协议条款终止一项选择权，而上市发行人集团对终止一事并无酌情权，则终止选择权并不属一项交易。</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(b) </w:t>
      </w:r>
      <w:r>
        <w:rPr>
          <w:rFonts w:ascii="Times New Roman" w:eastAsia="方正仿宋_GBK" w:hAnsi="Times New Roman" w:cs="Times New Roman"/>
          <w:sz w:val="30"/>
          <w:szCs w:val="30"/>
        </w:rPr>
        <w:t>上市发行人集团决定不行使选择权，以购入或出售资产，又或认购证券；</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(3) </w:t>
      </w:r>
      <w:r>
        <w:rPr>
          <w:rFonts w:ascii="Times New Roman" w:eastAsia="方正仿宋_GBK" w:hAnsi="Times New Roman" w:cs="Times New Roman"/>
          <w:sz w:val="30"/>
          <w:szCs w:val="30"/>
        </w:rPr>
        <w:t>签订或终止融资租赁或营运租赁或分租；</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(4) </w:t>
      </w:r>
      <w:r>
        <w:rPr>
          <w:rFonts w:ascii="Times New Roman" w:eastAsia="方正仿宋_GBK" w:hAnsi="Times New Roman" w:cs="Times New Roman"/>
          <w:sz w:val="30"/>
          <w:szCs w:val="30"/>
        </w:rPr>
        <w:t>作出赔偿保证，或提供或接受财务资助。「财务资助」包括授予信贷、借出款项，或就贷款作出赔偿保证、担保或抵押；</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(5) </w:t>
      </w:r>
      <w:r>
        <w:rPr>
          <w:rFonts w:ascii="Times New Roman" w:eastAsia="方正仿宋_GBK" w:hAnsi="Times New Roman" w:cs="Times New Roman"/>
          <w:sz w:val="30"/>
          <w:szCs w:val="30"/>
        </w:rPr>
        <w:t>订立协议或安排以成立任何形式的合营公司（如以合伙或以公司成立）或进行任何其他形式的合营安排；</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(6) </w:t>
      </w:r>
      <w:r>
        <w:rPr>
          <w:rFonts w:ascii="Times New Roman" w:eastAsia="方正仿宋_GBK" w:hAnsi="Times New Roman" w:cs="Times New Roman"/>
          <w:sz w:val="30"/>
          <w:szCs w:val="30"/>
        </w:rPr>
        <w:t>发行上市发行人或其附属公司的新证券；</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(7) </w:t>
      </w:r>
      <w:r>
        <w:rPr>
          <w:rFonts w:ascii="Times New Roman" w:eastAsia="方正仿宋_GBK" w:hAnsi="Times New Roman" w:cs="Times New Roman"/>
          <w:sz w:val="30"/>
          <w:szCs w:val="30"/>
        </w:rPr>
        <w:t>提供、接受或共用服务；或</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(8) </w:t>
      </w:r>
      <w:r>
        <w:rPr>
          <w:rFonts w:ascii="Times New Roman" w:eastAsia="方正仿宋_GBK" w:hAnsi="Times New Roman" w:cs="Times New Roman"/>
          <w:sz w:val="30"/>
          <w:szCs w:val="30"/>
        </w:rPr>
        <w:t>购入或提供原材料、半制成品及</w:t>
      </w:r>
      <w:r>
        <w:rPr>
          <w:rFonts w:ascii="宋体" w:eastAsia="宋体" w:hAnsi="宋体" w:cs="宋体" w:hint="eastAsia"/>
          <w:sz w:val="30"/>
          <w:szCs w:val="30"/>
        </w:rPr>
        <w:t>╱</w:t>
      </w:r>
      <w:r>
        <w:rPr>
          <w:rFonts w:ascii="Times New Roman" w:eastAsia="方正仿宋_GBK" w:hAnsi="Times New Roman" w:cs="Times New Roman"/>
          <w:sz w:val="30"/>
          <w:szCs w:val="30"/>
        </w:rPr>
        <w:t>或制成品。</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与关连人士的交易</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14A.25 </w:t>
      </w:r>
      <w:r>
        <w:rPr>
          <w:rFonts w:ascii="Times New Roman" w:eastAsia="方正仿宋_GBK" w:hAnsi="Times New Roman" w:cs="Times New Roman"/>
          <w:sz w:val="30"/>
          <w:szCs w:val="30"/>
        </w:rPr>
        <w:t>上市发行人集团与关连人士之间的任何交易均属关</w:t>
      </w:r>
      <w:r>
        <w:rPr>
          <w:rFonts w:ascii="Times New Roman" w:eastAsia="方正仿宋_GBK" w:hAnsi="Times New Roman" w:cs="Times New Roman"/>
          <w:sz w:val="30"/>
          <w:szCs w:val="30"/>
        </w:rPr>
        <w:lastRenderedPageBreak/>
        <w:t>连交易。</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与第三方的交易</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14A.26 </w:t>
      </w:r>
      <w:r>
        <w:rPr>
          <w:rFonts w:ascii="Times New Roman" w:eastAsia="方正仿宋_GBK" w:hAnsi="Times New Roman" w:cs="Times New Roman"/>
          <w:sz w:val="30"/>
          <w:szCs w:val="30"/>
        </w:rPr>
        <w:t>不论上市发行人集团向共同持有的实体提供财务资助，又或是接受共同持有的实体提供的财务资助，均属关连交易。</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14A.27 </w:t>
      </w:r>
      <w:r>
        <w:rPr>
          <w:rFonts w:ascii="Times New Roman" w:eastAsia="方正仿宋_GBK" w:hAnsi="Times New Roman" w:cs="Times New Roman"/>
          <w:sz w:val="30"/>
          <w:szCs w:val="30"/>
        </w:rPr>
        <w:t>「共同持有的实体」指一家公司，其股东包括以下人士：</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(1) </w:t>
      </w:r>
      <w:r>
        <w:rPr>
          <w:rFonts w:ascii="Times New Roman" w:eastAsia="方正仿宋_GBK" w:hAnsi="Times New Roman" w:cs="Times New Roman"/>
          <w:sz w:val="30"/>
          <w:szCs w:val="30"/>
        </w:rPr>
        <w:t>上市发行人集团成员；及</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(2) </w:t>
      </w:r>
      <w:r>
        <w:rPr>
          <w:rFonts w:ascii="Times New Roman" w:eastAsia="方正仿宋_GBK" w:hAnsi="Times New Roman" w:cs="Times New Roman"/>
          <w:sz w:val="30"/>
          <w:szCs w:val="30"/>
        </w:rPr>
        <w:t>任何发行人层面的关连人士，而该（等）人士可在该公司股东大会上个别或共同行使或控制行使</w:t>
      </w:r>
      <w:r>
        <w:rPr>
          <w:rFonts w:ascii="Times New Roman" w:eastAsia="方正仿宋_GBK" w:hAnsi="Times New Roman" w:cs="Times New Roman"/>
          <w:sz w:val="30"/>
          <w:szCs w:val="30"/>
        </w:rPr>
        <w:t>10%</w:t>
      </w:r>
      <w:r>
        <w:rPr>
          <w:rFonts w:ascii="Times New Roman" w:eastAsia="方正仿宋_GBK" w:hAnsi="Times New Roman" w:cs="Times New Roman"/>
          <w:sz w:val="30"/>
          <w:szCs w:val="30"/>
        </w:rPr>
        <w:t>或以上表决权；该</w:t>
      </w:r>
      <w:r>
        <w:rPr>
          <w:rFonts w:ascii="Times New Roman" w:eastAsia="方正仿宋_GBK" w:hAnsi="Times New Roman" w:cs="Times New Roman"/>
          <w:sz w:val="30"/>
          <w:szCs w:val="30"/>
        </w:rPr>
        <w:t>10%</w:t>
      </w:r>
      <w:r>
        <w:rPr>
          <w:rFonts w:ascii="Times New Roman" w:eastAsia="方正仿宋_GBK" w:hAnsi="Times New Roman" w:cs="Times New Roman"/>
          <w:sz w:val="30"/>
          <w:szCs w:val="30"/>
        </w:rPr>
        <w:t>水平不包括该（等）人士透过上市发行人持有的任何间接权益。</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14A.28 </w:t>
      </w:r>
      <w:r>
        <w:rPr>
          <w:rFonts w:ascii="Times New Roman" w:eastAsia="方正仿宋_GBK" w:hAnsi="Times New Roman" w:cs="Times New Roman"/>
          <w:sz w:val="30"/>
          <w:szCs w:val="30"/>
        </w:rPr>
        <w:t>上市发行人集团向一名非关连人士购入某公司（「目标公司」）的权益，若目标公司的主要股东属以下人士，该项交易会构成一项关连交易：</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(1) </w:t>
      </w:r>
      <w:r>
        <w:rPr>
          <w:rFonts w:ascii="Times New Roman" w:eastAsia="方正仿宋_GBK" w:hAnsi="Times New Roman" w:cs="Times New Roman"/>
          <w:sz w:val="30"/>
          <w:szCs w:val="30"/>
        </w:rPr>
        <w:t>该主要股东现时是（或拟成为）一名控权人。「控权人」指上市发行人的董事、最高行政人员或控股股东；或</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(2) </w:t>
      </w:r>
      <w:r>
        <w:rPr>
          <w:rFonts w:ascii="Times New Roman" w:eastAsia="方正仿宋_GBK" w:hAnsi="Times New Roman" w:cs="Times New Roman"/>
          <w:sz w:val="30"/>
          <w:szCs w:val="30"/>
        </w:rPr>
        <w:t>该主要股东现时是（或因交易而将成为）一名控权人（或建议中的控权人）之联系人。</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注：若交易涉及的资产占目标公司资产净值或资产总值</w:t>
      </w:r>
      <w:r>
        <w:rPr>
          <w:rFonts w:ascii="Times New Roman" w:eastAsia="方正仿宋_GBK" w:hAnsi="Times New Roman" w:cs="Times New Roman"/>
          <w:sz w:val="30"/>
          <w:szCs w:val="30"/>
        </w:rPr>
        <w:t>90%</w:t>
      </w:r>
      <w:r>
        <w:rPr>
          <w:rFonts w:ascii="Times New Roman" w:eastAsia="方正仿宋_GBK" w:hAnsi="Times New Roman" w:cs="Times New Roman"/>
          <w:sz w:val="30"/>
          <w:szCs w:val="30"/>
        </w:rPr>
        <w:t>或以上，购入目标公司的资产亦属一项关连交易。</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14A.29 </w:t>
      </w:r>
      <w:r>
        <w:rPr>
          <w:rFonts w:ascii="Times New Roman" w:eastAsia="方正仿宋_GBK" w:hAnsi="Times New Roman" w:cs="Times New Roman"/>
          <w:sz w:val="30"/>
          <w:szCs w:val="30"/>
        </w:rPr>
        <w:t>本交易所或会将控权人及其联系人于目标公司的权益合并计算，以厘定他们合计后是否属目标公司的主要股东。</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14A.30 </w:t>
      </w:r>
      <w:r>
        <w:rPr>
          <w:rFonts w:ascii="Times New Roman" w:eastAsia="方正仿宋_GBK" w:hAnsi="Times New Roman" w:cs="Times New Roman"/>
          <w:sz w:val="30"/>
          <w:szCs w:val="30"/>
        </w:rPr>
        <w:t>若控权人或其联系人，纯粹因为透过上市发行人集团持有目标公司的间接股权，而合计后属目标公司的主要股东，</w:t>
      </w:r>
      <w:r>
        <w:rPr>
          <w:rFonts w:ascii="Times New Roman" w:eastAsia="方正仿宋_GBK" w:hAnsi="Times New Roman" w:cs="Times New Roman"/>
          <w:sz w:val="30"/>
          <w:szCs w:val="30"/>
        </w:rPr>
        <w:lastRenderedPageBreak/>
        <w:t>则《上市规则》第</w:t>
      </w:r>
      <w:r>
        <w:rPr>
          <w:rFonts w:ascii="Times New Roman" w:eastAsia="方正仿宋_GBK" w:hAnsi="Times New Roman" w:cs="Times New Roman"/>
          <w:sz w:val="30"/>
          <w:szCs w:val="30"/>
        </w:rPr>
        <w:t>14A.28</w:t>
      </w:r>
      <w:r>
        <w:rPr>
          <w:rFonts w:ascii="Times New Roman" w:eastAsia="方正仿宋_GBK" w:hAnsi="Times New Roman" w:cs="Times New Roman"/>
          <w:sz w:val="30"/>
          <w:szCs w:val="30"/>
        </w:rPr>
        <w:t>条不适用于上市发行人建议中的收购项目。</w:t>
      </w:r>
    </w:p>
    <w:p w:rsidR="00F43A36" w:rsidRDefault="00061A8A">
      <w:pPr>
        <w:autoSpaceDE w:val="0"/>
        <w:autoSpaceDN w:val="0"/>
        <w:adjustRightInd w:val="0"/>
        <w:spacing w:line="560" w:lineRule="exact"/>
        <w:ind w:firstLineChars="200" w:firstLine="602"/>
        <w:jc w:val="left"/>
        <w:rPr>
          <w:rFonts w:ascii="方正仿宋_GBK" w:eastAsia="方正仿宋_GBK"/>
          <w:b/>
          <w:bCs/>
          <w:sz w:val="30"/>
          <w:szCs w:val="30"/>
        </w:rPr>
      </w:pPr>
      <w:r>
        <w:rPr>
          <w:rFonts w:ascii="方正仿宋_GBK" w:eastAsia="方正仿宋_GBK" w:hint="eastAsia"/>
          <w:b/>
          <w:bCs/>
          <w:sz w:val="30"/>
          <w:szCs w:val="30"/>
        </w:rPr>
        <w:t>持续关连交易的定义</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14A.31 </w:t>
      </w:r>
      <w:r>
        <w:rPr>
          <w:rFonts w:ascii="Times New Roman" w:eastAsia="方正仿宋_GBK" w:hAnsi="Times New Roman" w:cs="Times New Roman"/>
          <w:sz w:val="30"/>
          <w:szCs w:val="30"/>
        </w:rPr>
        <w:t>「持续关连交易」指涉及提供货物、服务或财务资助的关连交易，该等交易持续或经常发生，并预期会维持一段时间。这些交易通常是上市发行人集团在日常业务中进行的交易。</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（二）关连交易规定的豁免</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14A.73 </w:t>
      </w:r>
      <w:r>
        <w:rPr>
          <w:rFonts w:ascii="Times New Roman" w:eastAsia="方正仿宋_GBK" w:hAnsi="Times New Roman" w:cs="Times New Roman"/>
          <w:sz w:val="30"/>
          <w:szCs w:val="30"/>
        </w:rPr>
        <w:t>关连交易规定的豁免适用于以下类别的交易：</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(1) </w:t>
      </w:r>
      <w:r>
        <w:rPr>
          <w:rFonts w:ascii="Times New Roman" w:eastAsia="方正仿宋_GBK" w:hAnsi="Times New Roman" w:cs="Times New Roman"/>
          <w:sz w:val="30"/>
          <w:szCs w:val="30"/>
        </w:rPr>
        <w:t>符合最低豁免水平的交易（《上市规则》第</w:t>
      </w:r>
      <w:r>
        <w:rPr>
          <w:rFonts w:ascii="Times New Roman" w:eastAsia="方正仿宋_GBK" w:hAnsi="Times New Roman" w:cs="Times New Roman"/>
          <w:sz w:val="30"/>
          <w:szCs w:val="30"/>
        </w:rPr>
        <w:t>14A.76</w:t>
      </w:r>
      <w:r>
        <w:rPr>
          <w:rFonts w:ascii="Times New Roman" w:eastAsia="方正仿宋_GBK" w:hAnsi="Times New Roman" w:cs="Times New Roman"/>
          <w:sz w:val="30"/>
          <w:szCs w:val="30"/>
        </w:rPr>
        <w:t>条）；</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(2) </w:t>
      </w:r>
      <w:r>
        <w:rPr>
          <w:rFonts w:ascii="Times New Roman" w:eastAsia="方正仿宋_GBK" w:hAnsi="Times New Roman" w:cs="Times New Roman"/>
          <w:sz w:val="30"/>
          <w:szCs w:val="30"/>
        </w:rPr>
        <w:t>财务资助（《上市规则》第</w:t>
      </w:r>
      <w:r>
        <w:rPr>
          <w:rFonts w:ascii="Times New Roman" w:eastAsia="方正仿宋_GBK" w:hAnsi="Times New Roman" w:cs="Times New Roman"/>
          <w:sz w:val="30"/>
          <w:szCs w:val="30"/>
        </w:rPr>
        <w:t>14A.87</w:t>
      </w:r>
      <w:r>
        <w:rPr>
          <w:rFonts w:ascii="Times New Roman" w:eastAsia="方正仿宋_GBK" w:hAnsi="Times New Roman" w:cs="Times New Roman"/>
          <w:sz w:val="30"/>
          <w:szCs w:val="30"/>
        </w:rPr>
        <w:t>至</w:t>
      </w:r>
      <w:r>
        <w:rPr>
          <w:rFonts w:ascii="Times New Roman" w:eastAsia="方正仿宋_GBK" w:hAnsi="Times New Roman" w:cs="Times New Roman"/>
          <w:sz w:val="30"/>
          <w:szCs w:val="30"/>
        </w:rPr>
        <w:t>14A.91</w:t>
      </w:r>
      <w:r>
        <w:rPr>
          <w:rFonts w:ascii="Times New Roman" w:eastAsia="方正仿宋_GBK" w:hAnsi="Times New Roman" w:cs="Times New Roman"/>
          <w:sz w:val="30"/>
          <w:szCs w:val="30"/>
        </w:rPr>
        <w:t>条）；</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(3) </w:t>
      </w:r>
      <w:r>
        <w:rPr>
          <w:rFonts w:ascii="Times New Roman" w:eastAsia="方正仿宋_GBK" w:hAnsi="Times New Roman" w:cs="Times New Roman"/>
          <w:sz w:val="30"/>
          <w:szCs w:val="30"/>
        </w:rPr>
        <w:t>上市发行人或其附属公司发行新证券（《上市规则》第</w:t>
      </w:r>
      <w:r>
        <w:rPr>
          <w:rFonts w:ascii="Times New Roman" w:eastAsia="方正仿宋_GBK" w:hAnsi="Times New Roman" w:cs="Times New Roman"/>
          <w:sz w:val="30"/>
          <w:szCs w:val="30"/>
        </w:rPr>
        <w:t>14A.92</w:t>
      </w:r>
      <w:r>
        <w:rPr>
          <w:rFonts w:ascii="Times New Roman" w:eastAsia="方正仿宋_GBK" w:hAnsi="Times New Roman" w:cs="Times New Roman"/>
          <w:sz w:val="30"/>
          <w:szCs w:val="30"/>
        </w:rPr>
        <w:t>条）；</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(4) </w:t>
      </w:r>
      <w:r>
        <w:rPr>
          <w:rFonts w:ascii="Times New Roman" w:eastAsia="方正仿宋_GBK" w:hAnsi="Times New Roman" w:cs="Times New Roman"/>
          <w:sz w:val="30"/>
          <w:szCs w:val="30"/>
        </w:rPr>
        <w:t>在证券交易所买卖证券（《上市规则》第</w:t>
      </w:r>
      <w:r>
        <w:rPr>
          <w:rFonts w:ascii="Times New Roman" w:eastAsia="方正仿宋_GBK" w:hAnsi="Times New Roman" w:cs="Times New Roman"/>
          <w:sz w:val="30"/>
          <w:szCs w:val="30"/>
        </w:rPr>
        <w:t>14A.93</w:t>
      </w:r>
      <w:r>
        <w:rPr>
          <w:rFonts w:ascii="Times New Roman" w:eastAsia="方正仿宋_GBK" w:hAnsi="Times New Roman" w:cs="Times New Roman"/>
          <w:sz w:val="30"/>
          <w:szCs w:val="30"/>
        </w:rPr>
        <w:t>条）；</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(5) </w:t>
      </w:r>
      <w:r>
        <w:rPr>
          <w:rFonts w:ascii="Times New Roman" w:eastAsia="方正仿宋_GBK" w:hAnsi="Times New Roman" w:cs="Times New Roman"/>
          <w:sz w:val="30"/>
          <w:szCs w:val="30"/>
        </w:rPr>
        <w:t>上市发行人或其附属公司回购证券（《上市规则》第</w:t>
      </w:r>
      <w:r>
        <w:rPr>
          <w:rFonts w:ascii="Times New Roman" w:eastAsia="方正仿宋_GBK" w:hAnsi="Times New Roman" w:cs="Times New Roman"/>
          <w:sz w:val="30"/>
          <w:szCs w:val="30"/>
        </w:rPr>
        <w:t>14A.94</w:t>
      </w:r>
      <w:r>
        <w:rPr>
          <w:rFonts w:ascii="Times New Roman" w:eastAsia="方正仿宋_GBK" w:hAnsi="Times New Roman" w:cs="Times New Roman"/>
          <w:sz w:val="30"/>
          <w:szCs w:val="30"/>
        </w:rPr>
        <w:t>条）；</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(6) </w:t>
      </w:r>
      <w:r>
        <w:rPr>
          <w:rFonts w:ascii="Times New Roman" w:eastAsia="方正仿宋_GBK" w:hAnsi="Times New Roman" w:cs="Times New Roman"/>
          <w:sz w:val="30"/>
          <w:szCs w:val="30"/>
        </w:rPr>
        <w:t>董事的服务合约及保险（《上市规则》第</w:t>
      </w:r>
      <w:r>
        <w:rPr>
          <w:rFonts w:ascii="Times New Roman" w:eastAsia="方正仿宋_GBK" w:hAnsi="Times New Roman" w:cs="Times New Roman"/>
          <w:sz w:val="30"/>
          <w:szCs w:val="30"/>
        </w:rPr>
        <w:t>14A.95</w:t>
      </w:r>
      <w:r>
        <w:rPr>
          <w:rFonts w:ascii="Times New Roman" w:eastAsia="方正仿宋_GBK" w:hAnsi="Times New Roman" w:cs="Times New Roman"/>
          <w:sz w:val="30"/>
          <w:szCs w:val="30"/>
        </w:rPr>
        <w:t>及</w:t>
      </w:r>
      <w:r>
        <w:rPr>
          <w:rFonts w:ascii="Times New Roman" w:eastAsia="方正仿宋_GBK" w:hAnsi="Times New Roman" w:cs="Times New Roman"/>
          <w:sz w:val="30"/>
          <w:szCs w:val="30"/>
        </w:rPr>
        <w:t>14A.96</w:t>
      </w:r>
      <w:r>
        <w:rPr>
          <w:rFonts w:ascii="Times New Roman" w:eastAsia="方正仿宋_GBK" w:hAnsi="Times New Roman" w:cs="Times New Roman"/>
          <w:sz w:val="30"/>
          <w:szCs w:val="30"/>
        </w:rPr>
        <w:t>条）；</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(7) </w:t>
      </w:r>
      <w:r>
        <w:rPr>
          <w:rFonts w:ascii="Times New Roman" w:eastAsia="方正仿宋_GBK" w:hAnsi="Times New Roman" w:cs="Times New Roman"/>
          <w:sz w:val="30"/>
          <w:szCs w:val="30"/>
        </w:rPr>
        <w:t>购买或出售消费品或消费服务（《上市规则》第</w:t>
      </w:r>
      <w:r>
        <w:rPr>
          <w:rFonts w:ascii="Times New Roman" w:eastAsia="方正仿宋_GBK" w:hAnsi="Times New Roman" w:cs="Times New Roman"/>
          <w:sz w:val="30"/>
          <w:szCs w:val="30"/>
        </w:rPr>
        <w:t>14A.97</w:t>
      </w:r>
      <w:r>
        <w:rPr>
          <w:rFonts w:ascii="Times New Roman" w:eastAsia="方正仿宋_GBK" w:hAnsi="Times New Roman" w:cs="Times New Roman"/>
          <w:sz w:val="30"/>
          <w:szCs w:val="30"/>
        </w:rPr>
        <w:t>条）；</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(8) </w:t>
      </w:r>
      <w:r>
        <w:rPr>
          <w:rFonts w:ascii="Times New Roman" w:eastAsia="方正仿宋_GBK" w:hAnsi="Times New Roman" w:cs="Times New Roman"/>
          <w:sz w:val="30"/>
          <w:szCs w:val="30"/>
        </w:rPr>
        <w:t>共用行政管理服务（《上市规则》第</w:t>
      </w:r>
      <w:r>
        <w:rPr>
          <w:rFonts w:ascii="Times New Roman" w:eastAsia="方正仿宋_GBK" w:hAnsi="Times New Roman" w:cs="Times New Roman"/>
          <w:sz w:val="30"/>
          <w:szCs w:val="30"/>
        </w:rPr>
        <w:t>14A.98</w:t>
      </w:r>
      <w:r>
        <w:rPr>
          <w:rFonts w:ascii="Times New Roman" w:eastAsia="方正仿宋_GBK" w:hAnsi="Times New Roman" w:cs="Times New Roman"/>
          <w:sz w:val="30"/>
          <w:szCs w:val="30"/>
        </w:rPr>
        <w:t>条）；</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(9) </w:t>
      </w:r>
      <w:r>
        <w:rPr>
          <w:rFonts w:ascii="Times New Roman" w:eastAsia="方正仿宋_GBK" w:hAnsi="Times New Roman" w:cs="Times New Roman"/>
          <w:sz w:val="30"/>
          <w:szCs w:val="30"/>
        </w:rPr>
        <w:t>与被动投资者的联系人进行交易（《上市规则》第</w:t>
      </w:r>
      <w:r>
        <w:rPr>
          <w:rFonts w:ascii="Times New Roman" w:eastAsia="方正仿宋_GBK" w:hAnsi="Times New Roman" w:cs="Times New Roman"/>
          <w:sz w:val="30"/>
          <w:szCs w:val="30"/>
        </w:rPr>
        <w:t>14A.99</w:t>
      </w:r>
      <w:r>
        <w:rPr>
          <w:rFonts w:ascii="Times New Roman" w:eastAsia="方正仿宋_GBK" w:hAnsi="Times New Roman" w:cs="Times New Roman"/>
          <w:sz w:val="30"/>
          <w:szCs w:val="30"/>
        </w:rPr>
        <w:t>及</w:t>
      </w:r>
      <w:r>
        <w:rPr>
          <w:rFonts w:ascii="Times New Roman" w:eastAsia="方正仿宋_GBK" w:hAnsi="Times New Roman" w:cs="Times New Roman"/>
          <w:sz w:val="30"/>
          <w:szCs w:val="30"/>
        </w:rPr>
        <w:t>14A.100</w:t>
      </w:r>
      <w:r>
        <w:rPr>
          <w:rFonts w:ascii="Times New Roman" w:eastAsia="方正仿宋_GBK" w:hAnsi="Times New Roman" w:cs="Times New Roman"/>
          <w:sz w:val="30"/>
          <w:szCs w:val="30"/>
        </w:rPr>
        <w:t>条）；及</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(10) </w:t>
      </w:r>
      <w:r>
        <w:rPr>
          <w:rFonts w:ascii="Times New Roman" w:eastAsia="方正仿宋_GBK" w:hAnsi="Times New Roman" w:cs="Times New Roman"/>
          <w:sz w:val="30"/>
          <w:szCs w:val="30"/>
        </w:rPr>
        <w:t>与附属公司层面的关连人士进行交易（《上市规则》第</w:t>
      </w:r>
      <w:r>
        <w:rPr>
          <w:rFonts w:ascii="Times New Roman" w:eastAsia="方正仿宋_GBK" w:hAnsi="Times New Roman" w:cs="Times New Roman"/>
          <w:sz w:val="30"/>
          <w:szCs w:val="30"/>
        </w:rPr>
        <w:t>14A.101</w:t>
      </w:r>
      <w:r>
        <w:rPr>
          <w:rFonts w:ascii="Times New Roman" w:eastAsia="方正仿宋_GBK" w:hAnsi="Times New Roman" w:cs="Times New Roman"/>
          <w:sz w:val="30"/>
          <w:szCs w:val="30"/>
        </w:rPr>
        <w:t>条）。</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lastRenderedPageBreak/>
        <w:t xml:space="preserve">14A.74 </w:t>
      </w:r>
      <w:r>
        <w:rPr>
          <w:rFonts w:ascii="Times New Roman" w:eastAsia="方正仿宋_GBK" w:hAnsi="Times New Roman" w:cs="Times New Roman"/>
          <w:sz w:val="30"/>
          <w:szCs w:val="30"/>
        </w:rPr>
        <w:t>豁免大致分为两类：</w:t>
      </w:r>
      <w:r>
        <w:rPr>
          <w:rFonts w:ascii="Times New Roman" w:eastAsia="方正仿宋_GBK" w:hAnsi="Times New Roman" w:cs="Times New Roman"/>
          <w:sz w:val="30"/>
          <w:szCs w:val="30"/>
        </w:rPr>
        <w:t>(1)</w:t>
      </w:r>
      <w:r>
        <w:rPr>
          <w:rFonts w:ascii="Times New Roman" w:eastAsia="方正仿宋_GBK" w:hAnsi="Times New Roman" w:cs="Times New Roman"/>
          <w:sz w:val="30"/>
          <w:szCs w:val="30"/>
        </w:rPr>
        <w:t>全面豁免遵守股东批准、年度审阅及所有披露规定；及</w:t>
      </w:r>
      <w:r>
        <w:rPr>
          <w:rFonts w:ascii="Times New Roman" w:eastAsia="方正仿宋_GBK" w:hAnsi="Times New Roman" w:cs="Times New Roman"/>
          <w:sz w:val="30"/>
          <w:szCs w:val="30"/>
        </w:rPr>
        <w:t>(2)</w:t>
      </w:r>
      <w:r>
        <w:rPr>
          <w:rFonts w:ascii="Times New Roman" w:eastAsia="方正仿宋_GBK" w:hAnsi="Times New Roman" w:cs="Times New Roman"/>
          <w:sz w:val="30"/>
          <w:szCs w:val="30"/>
        </w:rPr>
        <w:t>豁免遵守股东批准规定。</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14A.75 </w:t>
      </w:r>
      <w:r>
        <w:rPr>
          <w:rFonts w:ascii="Times New Roman" w:eastAsia="方正仿宋_GBK" w:hAnsi="Times New Roman" w:cs="Times New Roman"/>
          <w:sz w:val="30"/>
          <w:szCs w:val="30"/>
        </w:rPr>
        <w:t>本交易所有权指明豁免不适用于个别交易。</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符合最低豁免水平的交易</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14A.76 </w:t>
      </w:r>
      <w:r>
        <w:rPr>
          <w:rFonts w:ascii="Times New Roman" w:eastAsia="方正仿宋_GBK" w:hAnsi="Times New Roman" w:cs="Times New Roman"/>
          <w:sz w:val="30"/>
          <w:szCs w:val="30"/>
        </w:rPr>
        <w:t>此项豁免适用于按照一般商务条款或更佳条款进行的关连交易（上市发行人发行新证券除外）。</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(1) </w:t>
      </w:r>
      <w:r>
        <w:rPr>
          <w:rFonts w:ascii="Times New Roman" w:eastAsia="方正仿宋_GBK" w:hAnsi="Times New Roman" w:cs="Times New Roman"/>
          <w:sz w:val="30"/>
          <w:szCs w:val="30"/>
        </w:rPr>
        <w:t>若所有百分比率（盈利比率除外）均符合下列其中一个水平界线规定，交易将可获得全面豁免：</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(a) </w:t>
      </w:r>
      <w:r>
        <w:rPr>
          <w:rFonts w:ascii="Times New Roman" w:eastAsia="方正仿宋_GBK" w:hAnsi="Times New Roman" w:cs="Times New Roman"/>
          <w:sz w:val="30"/>
          <w:szCs w:val="30"/>
        </w:rPr>
        <w:t>低于</w:t>
      </w:r>
      <w:r>
        <w:rPr>
          <w:rFonts w:ascii="Times New Roman" w:eastAsia="方正仿宋_GBK" w:hAnsi="Times New Roman" w:cs="Times New Roman"/>
          <w:sz w:val="30"/>
          <w:szCs w:val="30"/>
        </w:rPr>
        <w:t>0.1%</w:t>
      </w:r>
      <w:r>
        <w:rPr>
          <w:rFonts w:ascii="Times New Roman" w:eastAsia="方正仿宋_GBK" w:hAnsi="Times New Roman" w:cs="Times New Roman"/>
          <w:sz w:val="30"/>
          <w:szCs w:val="30"/>
        </w:rPr>
        <w:t>；</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(b) </w:t>
      </w:r>
      <w:r>
        <w:rPr>
          <w:rFonts w:ascii="Times New Roman" w:eastAsia="方正仿宋_GBK" w:hAnsi="Times New Roman" w:cs="Times New Roman"/>
          <w:sz w:val="30"/>
          <w:szCs w:val="30"/>
        </w:rPr>
        <w:t>低于</w:t>
      </w:r>
      <w:r>
        <w:rPr>
          <w:rFonts w:ascii="Times New Roman" w:eastAsia="方正仿宋_GBK" w:hAnsi="Times New Roman" w:cs="Times New Roman"/>
          <w:sz w:val="30"/>
          <w:szCs w:val="30"/>
        </w:rPr>
        <w:t>1%</w:t>
      </w:r>
      <w:r>
        <w:rPr>
          <w:rFonts w:ascii="Times New Roman" w:eastAsia="方正仿宋_GBK" w:hAnsi="Times New Roman" w:cs="Times New Roman"/>
          <w:sz w:val="30"/>
          <w:szCs w:val="30"/>
        </w:rPr>
        <w:t>，而有关交易之所以属一项关连交易，纯粹因为涉及附属公司层面的关连人士；或</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(c) </w:t>
      </w:r>
      <w:r>
        <w:rPr>
          <w:rFonts w:ascii="Times New Roman" w:eastAsia="方正仿宋_GBK" w:hAnsi="Times New Roman" w:cs="Times New Roman"/>
          <w:sz w:val="30"/>
          <w:szCs w:val="30"/>
        </w:rPr>
        <w:t>低于</w:t>
      </w:r>
      <w:r>
        <w:rPr>
          <w:rFonts w:ascii="Times New Roman" w:eastAsia="方正仿宋_GBK" w:hAnsi="Times New Roman" w:cs="Times New Roman"/>
          <w:sz w:val="30"/>
          <w:szCs w:val="30"/>
        </w:rPr>
        <w:t>5%</w:t>
      </w:r>
      <w:r>
        <w:rPr>
          <w:rFonts w:ascii="Times New Roman" w:eastAsia="方正仿宋_GBK" w:hAnsi="Times New Roman" w:cs="Times New Roman"/>
          <w:sz w:val="30"/>
          <w:szCs w:val="30"/>
        </w:rPr>
        <w:t>，而总代价（如属财务资助，财务资助的总额连同付予关连人士或共同持有实体的任何金钱利益）亦低于</w:t>
      </w:r>
      <w:r>
        <w:rPr>
          <w:rFonts w:ascii="Times New Roman" w:eastAsia="方正仿宋_GBK" w:hAnsi="Times New Roman" w:cs="Times New Roman"/>
          <w:sz w:val="30"/>
          <w:szCs w:val="30"/>
        </w:rPr>
        <w:t>300</w:t>
      </w:r>
      <w:r>
        <w:rPr>
          <w:rFonts w:ascii="Times New Roman" w:eastAsia="方正仿宋_GBK" w:hAnsi="Times New Roman" w:cs="Times New Roman"/>
          <w:sz w:val="30"/>
          <w:szCs w:val="30"/>
        </w:rPr>
        <w:t>万港元。</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(2) </w:t>
      </w:r>
      <w:r>
        <w:rPr>
          <w:rFonts w:ascii="Times New Roman" w:eastAsia="方正仿宋_GBK" w:hAnsi="Times New Roman" w:cs="Times New Roman"/>
          <w:sz w:val="30"/>
          <w:szCs w:val="30"/>
        </w:rPr>
        <w:t>若所有百分比率（盈利比率除外）均符合下列其中一个水平界线规定，交易将可获得豁免遵守有关通函（包括独立财务意见）及股东批准的规定：</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(a) </w:t>
      </w:r>
      <w:r>
        <w:rPr>
          <w:rFonts w:ascii="Times New Roman" w:eastAsia="方正仿宋_GBK" w:hAnsi="Times New Roman" w:cs="Times New Roman"/>
          <w:sz w:val="30"/>
          <w:szCs w:val="30"/>
        </w:rPr>
        <w:t>低于</w:t>
      </w:r>
      <w:r>
        <w:rPr>
          <w:rFonts w:ascii="Times New Roman" w:eastAsia="方正仿宋_GBK" w:hAnsi="Times New Roman" w:cs="Times New Roman"/>
          <w:sz w:val="30"/>
          <w:szCs w:val="30"/>
        </w:rPr>
        <w:t>5%</w:t>
      </w:r>
      <w:r>
        <w:rPr>
          <w:rFonts w:ascii="Times New Roman" w:eastAsia="方正仿宋_GBK" w:hAnsi="Times New Roman" w:cs="Times New Roman"/>
          <w:sz w:val="30"/>
          <w:szCs w:val="30"/>
        </w:rPr>
        <w:t>；或</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(b) </w:t>
      </w:r>
      <w:r>
        <w:rPr>
          <w:rFonts w:ascii="Times New Roman" w:eastAsia="方正仿宋_GBK" w:hAnsi="Times New Roman" w:cs="Times New Roman"/>
          <w:sz w:val="30"/>
          <w:szCs w:val="30"/>
        </w:rPr>
        <w:t>低于</w:t>
      </w:r>
      <w:r>
        <w:rPr>
          <w:rFonts w:ascii="Times New Roman" w:eastAsia="方正仿宋_GBK" w:hAnsi="Times New Roman" w:cs="Times New Roman"/>
          <w:sz w:val="30"/>
          <w:szCs w:val="30"/>
        </w:rPr>
        <w:t>25%</w:t>
      </w:r>
      <w:r>
        <w:rPr>
          <w:rFonts w:ascii="Times New Roman" w:eastAsia="方正仿宋_GBK" w:hAnsi="Times New Roman" w:cs="Times New Roman"/>
          <w:sz w:val="30"/>
          <w:szCs w:val="30"/>
        </w:rPr>
        <w:t>，而总代价（如属财务资助，财务资助的总额连同付予关连人士或共同持有实体的任何金钱利益）亦低于</w:t>
      </w:r>
      <w:r>
        <w:rPr>
          <w:rFonts w:ascii="Times New Roman" w:eastAsia="方正仿宋_GBK" w:hAnsi="Times New Roman" w:cs="Times New Roman"/>
          <w:sz w:val="30"/>
          <w:szCs w:val="30"/>
        </w:rPr>
        <w:t>1,000</w:t>
      </w:r>
      <w:r>
        <w:rPr>
          <w:rFonts w:ascii="Times New Roman" w:eastAsia="方正仿宋_GBK" w:hAnsi="Times New Roman" w:cs="Times New Roman"/>
          <w:sz w:val="30"/>
          <w:szCs w:val="30"/>
        </w:rPr>
        <w:t>万港元。</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14A.77 </w:t>
      </w:r>
      <w:r>
        <w:rPr>
          <w:rFonts w:ascii="Times New Roman" w:eastAsia="方正仿宋_GBK" w:hAnsi="Times New Roman" w:cs="Times New Roman"/>
          <w:sz w:val="30"/>
          <w:szCs w:val="30"/>
        </w:rPr>
        <w:t>《上市规则》第十四章（须予公布的交易）所述百分比率的计算方法亦适用于本章的关连交易，惟须符合《上市规则》第</w:t>
      </w:r>
      <w:r>
        <w:rPr>
          <w:rFonts w:ascii="Times New Roman" w:eastAsia="方正仿宋_GBK" w:hAnsi="Times New Roman" w:cs="Times New Roman"/>
          <w:sz w:val="30"/>
          <w:szCs w:val="30"/>
        </w:rPr>
        <w:t>14A.78</w:t>
      </w:r>
      <w:r>
        <w:rPr>
          <w:rFonts w:ascii="Times New Roman" w:eastAsia="方正仿宋_GBK" w:hAnsi="Times New Roman" w:cs="Times New Roman"/>
          <w:sz w:val="30"/>
          <w:szCs w:val="30"/>
        </w:rPr>
        <w:t>至</w:t>
      </w:r>
      <w:r>
        <w:rPr>
          <w:rFonts w:ascii="Times New Roman" w:eastAsia="方正仿宋_GBK" w:hAnsi="Times New Roman" w:cs="Times New Roman"/>
          <w:sz w:val="30"/>
          <w:szCs w:val="30"/>
        </w:rPr>
        <w:t>14A.79</w:t>
      </w:r>
      <w:r>
        <w:rPr>
          <w:rFonts w:ascii="Times New Roman" w:eastAsia="方正仿宋_GBK" w:hAnsi="Times New Roman" w:cs="Times New Roman"/>
          <w:sz w:val="30"/>
          <w:szCs w:val="30"/>
        </w:rPr>
        <w:t>条所述的修订。</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lastRenderedPageBreak/>
        <w:t xml:space="preserve">14A.78 </w:t>
      </w:r>
      <w:r>
        <w:rPr>
          <w:rFonts w:ascii="Times New Roman" w:eastAsia="方正仿宋_GBK" w:hAnsi="Times New Roman" w:cs="Times New Roman"/>
          <w:sz w:val="30"/>
          <w:szCs w:val="30"/>
        </w:rPr>
        <w:t>如属持续关连交易，上市发行人须以上限作为计算资产比率、收益比率及代价比率的分子。如有关交易的协议期限超过一年，有关交易将以协议期内最高的上限作为分类基准。</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14A.79 </w:t>
      </w:r>
      <w:r>
        <w:rPr>
          <w:rFonts w:ascii="Times New Roman" w:eastAsia="方正仿宋_GBK" w:hAnsi="Times New Roman" w:cs="Times New Roman"/>
          <w:sz w:val="30"/>
          <w:szCs w:val="30"/>
        </w:rPr>
        <w:t>计算涉及选择权的关连交易的百分比率时，以下情况适用：</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(1) </w:t>
      </w:r>
      <w:r>
        <w:rPr>
          <w:rFonts w:ascii="Times New Roman" w:eastAsia="方正仿宋_GBK" w:hAnsi="Times New Roman" w:cs="Times New Roman"/>
          <w:sz w:val="30"/>
          <w:szCs w:val="30"/>
        </w:rPr>
        <w:t>若上市发行人集团向关连人士授予选择权，而上市发行人集团没有酌情权行使选择权，有关交易将会如同该选择权已获行使一样而被分类。计算百分比率是根据交易代价（包括选择权的权利金及行使价）、相关资产的价值以及资产应占收益（见《上市规则》第</w:t>
      </w:r>
      <w:r>
        <w:rPr>
          <w:rFonts w:ascii="Times New Roman" w:eastAsia="方正仿宋_GBK" w:hAnsi="Times New Roman" w:cs="Times New Roman"/>
          <w:sz w:val="30"/>
          <w:szCs w:val="30"/>
        </w:rPr>
        <w:t>14A.61</w:t>
      </w:r>
      <w:r>
        <w:rPr>
          <w:rFonts w:ascii="Times New Roman" w:eastAsia="方正仿宋_GBK" w:hAnsi="Times New Roman" w:cs="Times New Roman"/>
          <w:sz w:val="30"/>
          <w:szCs w:val="30"/>
        </w:rPr>
        <w:t>条所载有关选择权持有人行使或转让选择权时，又或选择权到期时的披露规定）；</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(2) </w:t>
      </w:r>
      <w:r>
        <w:rPr>
          <w:rFonts w:ascii="Times New Roman" w:eastAsia="方正仿宋_GBK" w:hAnsi="Times New Roman" w:cs="Times New Roman"/>
          <w:sz w:val="30"/>
          <w:szCs w:val="30"/>
        </w:rPr>
        <w:t>如上市发行人集团购入或接受关连人士授予的选择权，而上市发行人集团有酌情权行使选择权，有关交易将按上市发行人集团应付的权利金之金额而被分类。但如权利金占权利金与行使价之总和的</w:t>
      </w:r>
      <w:r>
        <w:rPr>
          <w:rFonts w:ascii="Times New Roman" w:eastAsia="方正仿宋_GBK" w:hAnsi="Times New Roman" w:cs="Times New Roman"/>
          <w:sz w:val="30"/>
          <w:szCs w:val="30"/>
        </w:rPr>
        <w:t>10%</w:t>
      </w:r>
      <w:r>
        <w:rPr>
          <w:rFonts w:ascii="Times New Roman" w:eastAsia="方正仿宋_GBK" w:hAnsi="Times New Roman" w:cs="Times New Roman"/>
          <w:sz w:val="30"/>
          <w:szCs w:val="30"/>
        </w:rPr>
        <w:t>或以上，有关交易将会如同该选择权已被行使一样而被分类（见《上市规则》第</w:t>
      </w:r>
      <w:r>
        <w:rPr>
          <w:rFonts w:ascii="Times New Roman" w:eastAsia="方正仿宋_GBK" w:hAnsi="Times New Roman" w:cs="Times New Roman"/>
          <w:sz w:val="30"/>
          <w:szCs w:val="30"/>
        </w:rPr>
        <w:t>14A.79(1</w:t>
      </w:r>
      <w:r>
        <w:rPr>
          <w:rFonts w:ascii="Times New Roman" w:eastAsia="方正仿宋_GBK" w:hAnsi="Times New Roman" w:cs="Times New Roman"/>
          <w:sz w:val="30"/>
          <w:szCs w:val="30"/>
        </w:rPr>
        <w:t>）条）；</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(3) </w:t>
      </w:r>
      <w:r>
        <w:rPr>
          <w:rFonts w:ascii="Times New Roman" w:eastAsia="方正仿宋_GBK" w:hAnsi="Times New Roman" w:cs="Times New Roman"/>
          <w:sz w:val="30"/>
          <w:szCs w:val="30"/>
        </w:rPr>
        <w:t>如上市发行人集团行使关连人士授予的选择权，有关交易以行使价、相关资产的价值以及该等资产应占收益来分类。如选择权分多个阶段行使，本交易所或会要求将交易合并计算，并视之为一项交易处理；</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(4) </w:t>
      </w:r>
      <w:r>
        <w:rPr>
          <w:rFonts w:ascii="Times New Roman" w:eastAsia="方正仿宋_GBK" w:hAnsi="Times New Roman" w:cs="Times New Roman"/>
          <w:sz w:val="30"/>
          <w:szCs w:val="30"/>
        </w:rPr>
        <w:t>如上市发行人集团将关连人士授予的选择权转让予第三者、终止选择权或决定不行使选择权：</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(a) </w:t>
      </w:r>
      <w:r>
        <w:rPr>
          <w:rFonts w:ascii="Times New Roman" w:eastAsia="方正仿宋_GBK" w:hAnsi="Times New Roman" w:cs="Times New Roman"/>
          <w:sz w:val="30"/>
          <w:szCs w:val="30"/>
        </w:rPr>
        <w:t>上市发行人须将有关交易如同该选择权已获行使一样分类。百分比率将按行使价、相关资产的价值及该等资产应占收益，</w:t>
      </w:r>
      <w:r>
        <w:rPr>
          <w:rFonts w:ascii="Times New Roman" w:eastAsia="方正仿宋_GBK" w:hAnsi="Times New Roman" w:cs="Times New Roman"/>
          <w:sz w:val="30"/>
          <w:szCs w:val="30"/>
        </w:rPr>
        <w:lastRenderedPageBreak/>
        <w:t>以及（如适用）转让选择权的代价，又或上市发行人集团终止选择权时应收或应付的金额来计算；或</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(b) </w:t>
      </w:r>
      <w:r>
        <w:rPr>
          <w:rFonts w:ascii="Times New Roman" w:eastAsia="方正仿宋_GBK" w:hAnsi="Times New Roman" w:cs="Times New Roman"/>
          <w:sz w:val="30"/>
          <w:szCs w:val="30"/>
        </w:rPr>
        <w:t>本交易所或会准许上市发行人不理会上述</w:t>
      </w:r>
      <w:r>
        <w:rPr>
          <w:rFonts w:ascii="Times New Roman" w:eastAsia="方正仿宋_GBK" w:hAnsi="Times New Roman" w:cs="Times New Roman"/>
          <w:sz w:val="30"/>
          <w:szCs w:val="30"/>
        </w:rPr>
        <w:t>(a)</w:t>
      </w:r>
      <w:r>
        <w:rPr>
          <w:rFonts w:ascii="Times New Roman" w:eastAsia="方正仿宋_GBK" w:hAnsi="Times New Roman" w:cs="Times New Roman"/>
          <w:sz w:val="30"/>
          <w:szCs w:val="30"/>
        </w:rPr>
        <w:t>段百分比率的计算结果，并按资产及代价比率将交易分类，而在计算该等百分比率时，则采用以下两项金额的较高者：</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(i) </w:t>
      </w:r>
      <w:r>
        <w:rPr>
          <w:rFonts w:ascii="Times New Roman" w:eastAsia="方正仿宋_GBK" w:hAnsi="Times New Roman" w:cs="Times New Roman"/>
          <w:sz w:val="30"/>
          <w:szCs w:val="30"/>
        </w:rPr>
        <w:t>（如属上市发行人集团持有的认沽期权）行使价超过选择权相关资产价值之金额，或（如属上市发行人集团持有的认购期权）选择权相关资产价值超过行使价之金额；及</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(ii) </w:t>
      </w:r>
      <w:r>
        <w:rPr>
          <w:rFonts w:ascii="Times New Roman" w:eastAsia="方正仿宋_GBK" w:hAnsi="Times New Roman" w:cs="Times New Roman"/>
          <w:sz w:val="30"/>
          <w:szCs w:val="30"/>
        </w:rPr>
        <w:t>上市发行人集团应支付或收取的代价或金额。</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上市发行人可以采用这些替代测试，惟必须有独立专家提供按公认方法编备的资产估值，以及上市发行人的独立非执行董事及独立财务顾问已确认有关转让、终止或不行使选择权为公平合理，并符合上市发行人及其股东的整体利益。上市发行人必须公布该等转让、终止或不行使选择权，并附有独立非执行董事及独立财务顾问的意见；及</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(5) </w:t>
      </w:r>
      <w:r>
        <w:rPr>
          <w:rFonts w:ascii="Times New Roman" w:eastAsia="方正仿宋_GBK" w:hAnsi="Times New Roman" w:cs="Times New Roman"/>
          <w:sz w:val="30"/>
          <w:szCs w:val="30"/>
        </w:rPr>
        <w:t>如在上市发行人集团授予或购入或接受选择权时，尚未确定权利金、行使价、相关资产的价值及该等资产应占收益的实际币值。</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(a) </w:t>
      </w:r>
      <w:r>
        <w:rPr>
          <w:rFonts w:ascii="Times New Roman" w:eastAsia="方正仿宋_GBK" w:hAnsi="Times New Roman" w:cs="Times New Roman"/>
          <w:sz w:val="30"/>
          <w:szCs w:val="30"/>
        </w:rPr>
        <w:t>就计算百分比率及界定交易所属类别而言，上市发行人须提供可以令本交易所信纳的最高可能出现的币值；否则上市发行人或须就有关交易遵守所有关连交易规定；及</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(b) </w:t>
      </w:r>
      <w:r>
        <w:rPr>
          <w:rFonts w:ascii="Times New Roman" w:eastAsia="方正仿宋_GBK" w:hAnsi="Times New Roman" w:cs="Times New Roman"/>
          <w:sz w:val="30"/>
          <w:szCs w:val="30"/>
        </w:rPr>
        <w:t>实际币值一经确定，上市发行人须通知本交易所。如该项交易按实际币值被界定为较高级别的交易，则上市发行人须在合理切实可行的范围内，尽快公布此事，并遵守适用于该等较高</w:t>
      </w:r>
      <w:r>
        <w:rPr>
          <w:rFonts w:ascii="Times New Roman" w:eastAsia="方正仿宋_GBK" w:hAnsi="Times New Roman" w:cs="Times New Roman"/>
          <w:sz w:val="30"/>
          <w:szCs w:val="30"/>
        </w:rPr>
        <w:lastRenderedPageBreak/>
        <w:t>级别交易的规定。</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注：</w:t>
      </w:r>
      <w:r>
        <w:rPr>
          <w:rFonts w:ascii="Times New Roman" w:eastAsia="方正仿宋_GBK" w:hAnsi="Times New Roman" w:cs="Times New Roman"/>
          <w:sz w:val="30"/>
          <w:szCs w:val="30"/>
        </w:rPr>
        <w:t xml:space="preserve"> </w:t>
      </w:r>
      <w:r>
        <w:rPr>
          <w:rFonts w:ascii="Times New Roman" w:eastAsia="方正仿宋_GBK" w:hAnsi="Times New Roman" w:cs="Times New Roman"/>
          <w:sz w:val="30"/>
          <w:szCs w:val="30"/>
        </w:rPr>
        <w:t>本规定与《上市规则》第十四章（须予公布的交易）适用于选择权的规定相同，下列情况除外：</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1. </w:t>
      </w:r>
      <w:r>
        <w:rPr>
          <w:rFonts w:ascii="Times New Roman" w:eastAsia="方正仿宋_GBK" w:hAnsi="Times New Roman" w:cs="Times New Roman"/>
          <w:sz w:val="30"/>
          <w:szCs w:val="30"/>
        </w:rPr>
        <w:t>根据《上市规则》第十四章，上市发行人可于上市发行人集团购入或接受第三者授予的选择权时，就日后行使选择权寻求股东批准。本章并没有容许这项批准。</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2. </w:t>
      </w:r>
      <w:r>
        <w:rPr>
          <w:rFonts w:ascii="Times New Roman" w:eastAsia="方正仿宋_GBK" w:hAnsi="Times New Roman" w:cs="Times New Roman"/>
          <w:sz w:val="30"/>
          <w:szCs w:val="30"/>
        </w:rPr>
        <w:t>根据《上市规则》第十四章，上市发行人集团转让或终止选择权会构成一项交易，而该项交易是根据选择权的转让代价或上市发行人集团因终止选择权应收取或应支付的金额来分类。根据本章，有关转让或终止安排则会如同该选择权已获行使一样或根据《上市规则》第</w:t>
      </w:r>
      <w:r>
        <w:rPr>
          <w:rFonts w:ascii="Times New Roman" w:eastAsia="方正仿宋_GBK" w:hAnsi="Times New Roman" w:cs="Times New Roman"/>
          <w:sz w:val="30"/>
          <w:szCs w:val="30"/>
        </w:rPr>
        <w:t>14A.79(4)(b)</w:t>
      </w:r>
      <w:r>
        <w:rPr>
          <w:rFonts w:ascii="Times New Roman" w:eastAsia="方正仿宋_GBK" w:hAnsi="Times New Roman" w:cs="Times New Roman"/>
          <w:sz w:val="30"/>
          <w:szCs w:val="30"/>
        </w:rPr>
        <w:t>条所载的替代测试而被分类。</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3. </w:t>
      </w:r>
      <w:r>
        <w:rPr>
          <w:rFonts w:ascii="Times New Roman" w:eastAsia="方正仿宋_GBK" w:hAnsi="Times New Roman" w:cs="Times New Roman"/>
          <w:sz w:val="30"/>
          <w:szCs w:val="30"/>
        </w:rPr>
        <w:t>根据《上市规则》第十四章，不行使选择权并不会构成一项交易。根据本章，不行使选择权会如同该选择权已获行使一样或根据《上市规则》第</w:t>
      </w:r>
      <w:r>
        <w:rPr>
          <w:rFonts w:ascii="Times New Roman" w:eastAsia="方正仿宋_GBK" w:hAnsi="Times New Roman" w:cs="Times New Roman"/>
          <w:sz w:val="30"/>
          <w:szCs w:val="30"/>
        </w:rPr>
        <w:t>14A.79 (4)(b)</w:t>
      </w:r>
      <w:r>
        <w:rPr>
          <w:rFonts w:ascii="Times New Roman" w:eastAsia="方正仿宋_GBK" w:hAnsi="Times New Roman" w:cs="Times New Roman"/>
          <w:sz w:val="30"/>
          <w:szCs w:val="30"/>
        </w:rPr>
        <w:t>条所载的替代测试而被分类。</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14A.80 </w:t>
      </w:r>
      <w:r>
        <w:rPr>
          <w:rFonts w:ascii="Times New Roman" w:eastAsia="方正仿宋_GBK" w:hAnsi="Times New Roman" w:cs="Times New Roman"/>
          <w:sz w:val="30"/>
          <w:szCs w:val="30"/>
        </w:rPr>
        <w:t>若计算任何百分比率时出现异常结果，又或有关计算不适合应用在上市发行人的业务范围，本交易所可不理会该比率，而改为考虑上市发行人所提供的替代测试。若上市发行人有意使用本规定，其须事先取得本交易所的同意。</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14A.81 </w:t>
      </w:r>
      <w:r>
        <w:rPr>
          <w:rFonts w:ascii="Times New Roman" w:eastAsia="方正仿宋_GBK" w:hAnsi="Times New Roman" w:cs="Times New Roman"/>
          <w:sz w:val="30"/>
          <w:szCs w:val="30"/>
        </w:rPr>
        <w:t>如有连串关连交易全部在同一个</w:t>
      </w:r>
      <w:r>
        <w:rPr>
          <w:rFonts w:ascii="Times New Roman" w:eastAsia="方正仿宋_GBK" w:hAnsi="Times New Roman" w:cs="Times New Roman"/>
          <w:sz w:val="30"/>
          <w:szCs w:val="30"/>
        </w:rPr>
        <w:t>12</w:t>
      </w:r>
      <w:r>
        <w:rPr>
          <w:rFonts w:ascii="Times New Roman" w:eastAsia="方正仿宋_GBK" w:hAnsi="Times New Roman" w:cs="Times New Roman"/>
          <w:sz w:val="30"/>
          <w:szCs w:val="30"/>
        </w:rPr>
        <w:t>个月期内进行或完成，又或相关交易彼此有关连，本交易所会将该等交易合并计算，并视作一项交易处理。上市发行人须遵守适用于该等关连交易在合并后所属交易类别的关连交易规定。如关连交易属连串资产收购，而合并计算该等收购或会构成一项反收购行动，该合并</w:t>
      </w:r>
      <w:r>
        <w:rPr>
          <w:rFonts w:ascii="Times New Roman" w:eastAsia="方正仿宋_GBK" w:hAnsi="Times New Roman" w:cs="Times New Roman"/>
          <w:sz w:val="30"/>
          <w:szCs w:val="30"/>
        </w:rPr>
        <w:lastRenderedPageBreak/>
        <w:t>计算期将会是</w:t>
      </w:r>
      <w:r>
        <w:rPr>
          <w:rFonts w:ascii="Times New Roman" w:eastAsia="方正仿宋_GBK" w:hAnsi="Times New Roman" w:cs="Times New Roman"/>
          <w:sz w:val="30"/>
          <w:szCs w:val="30"/>
        </w:rPr>
        <w:t>24</w:t>
      </w:r>
      <w:r>
        <w:rPr>
          <w:rFonts w:ascii="Times New Roman" w:eastAsia="方正仿宋_GBK" w:hAnsi="Times New Roman" w:cs="Times New Roman"/>
          <w:sz w:val="30"/>
          <w:szCs w:val="30"/>
        </w:rPr>
        <w:t>个月。</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14A.82 </w:t>
      </w:r>
      <w:r>
        <w:rPr>
          <w:rFonts w:ascii="Times New Roman" w:eastAsia="方正仿宋_GBK" w:hAnsi="Times New Roman" w:cs="Times New Roman"/>
          <w:sz w:val="30"/>
          <w:szCs w:val="30"/>
        </w:rPr>
        <w:t>本交易所在决定是否将关连交易合并计算时，将会考虑的因素包括：</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(1) </w:t>
      </w:r>
      <w:r>
        <w:rPr>
          <w:rFonts w:ascii="Times New Roman" w:eastAsia="方正仿宋_GBK" w:hAnsi="Times New Roman" w:cs="Times New Roman"/>
          <w:sz w:val="30"/>
          <w:szCs w:val="30"/>
        </w:rPr>
        <w:t>该等交易是否为上市发行人集团与同一方进行，或与互相有关连的人士进行；</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(2) </w:t>
      </w:r>
      <w:r>
        <w:rPr>
          <w:rFonts w:ascii="Times New Roman" w:eastAsia="方正仿宋_GBK" w:hAnsi="Times New Roman" w:cs="Times New Roman"/>
          <w:sz w:val="30"/>
          <w:szCs w:val="30"/>
        </w:rPr>
        <w:t>该等交易是否涉及收购或出售某项资产的组成部分或某公司（或某公司集团）的证券或权益；或</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(3) </w:t>
      </w:r>
      <w:r>
        <w:rPr>
          <w:rFonts w:ascii="Times New Roman" w:eastAsia="方正仿宋_GBK" w:hAnsi="Times New Roman" w:cs="Times New Roman"/>
          <w:sz w:val="30"/>
          <w:szCs w:val="30"/>
        </w:rPr>
        <w:t>该等交易会否合共导致上市发行人集团大量参与一项新的业务。</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14A.83 </w:t>
      </w:r>
      <w:r>
        <w:rPr>
          <w:rFonts w:ascii="Times New Roman" w:eastAsia="方正仿宋_GBK" w:hAnsi="Times New Roman" w:cs="Times New Roman"/>
          <w:sz w:val="30"/>
          <w:szCs w:val="30"/>
        </w:rPr>
        <w:t>本交易所可将所有与同一关连人士进行的持续关连交易合并计算。</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14A.84 </w:t>
      </w:r>
      <w:r>
        <w:rPr>
          <w:rFonts w:ascii="Times New Roman" w:eastAsia="方正仿宋_GBK" w:hAnsi="Times New Roman" w:cs="Times New Roman"/>
          <w:sz w:val="30"/>
          <w:szCs w:val="30"/>
        </w:rPr>
        <w:t>如遇到下列情况，上市发行人必须在上市发行人集团签订任何关连交易前先行咨询本交易所：</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(1) </w:t>
      </w:r>
      <w:r>
        <w:rPr>
          <w:rFonts w:ascii="Times New Roman" w:eastAsia="方正仿宋_GBK" w:hAnsi="Times New Roman" w:cs="Times New Roman"/>
          <w:sz w:val="30"/>
          <w:szCs w:val="30"/>
        </w:rPr>
        <w:t>该交易及上市发行人集团在之前</w:t>
      </w:r>
      <w:r>
        <w:rPr>
          <w:rFonts w:ascii="Times New Roman" w:eastAsia="方正仿宋_GBK" w:hAnsi="Times New Roman" w:cs="Times New Roman"/>
          <w:sz w:val="30"/>
          <w:szCs w:val="30"/>
        </w:rPr>
        <w:t>12</w:t>
      </w:r>
      <w:r>
        <w:rPr>
          <w:rFonts w:ascii="Times New Roman" w:eastAsia="方正仿宋_GBK" w:hAnsi="Times New Roman" w:cs="Times New Roman"/>
          <w:sz w:val="30"/>
          <w:szCs w:val="30"/>
        </w:rPr>
        <w:t>个月内签订或完成的任何其他关连交易，存有《上市规则》第</w:t>
      </w:r>
      <w:r>
        <w:rPr>
          <w:rFonts w:ascii="Times New Roman" w:eastAsia="方正仿宋_GBK" w:hAnsi="Times New Roman" w:cs="Times New Roman"/>
          <w:sz w:val="30"/>
          <w:szCs w:val="30"/>
        </w:rPr>
        <w:t>14A.82</w:t>
      </w:r>
      <w:r>
        <w:rPr>
          <w:rFonts w:ascii="Times New Roman" w:eastAsia="方正仿宋_GBK" w:hAnsi="Times New Roman" w:cs="Times New Roman"/>
          <w:sz w:val="30"/>
          <w:szCs w:val="30"/>
        </w:rPr>
        <w:t>条所述的任何情况；或</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(2) </w:t>
      </w:r>
      <w:r>
        <w:rPr>
          <w:rFonts w:ascii="Times New Roman" w:eastAsia="方正仿宋_GBK" w:hAnsi="Times New Roman" w:cs="Times New Roman"/>
          <w:sz w:val="30"/>
          <w:szCs w:val="30"/>
        </w:rPr>
        <w:t>该交易及上市发行人集团所签订的任何其他交易，涉及在发行人的控制权（定义见《收购守则》）转手后的</w:t>
      </w:r>
      <w:r>
        <w:rPr>
          <w:rFonts w:ascii="Times New Roman" w:eastAsia="方正仿宋_GBK" w:hAnsi="Times New Roman" w:cs="Times New Roman"/>
          <w:sz w:val="30"/>
          <w:szCs w:val="30"/>
        </w:rPr>
        <w:t>24</w:t>
      </w:r>
      <w:r>
        <w:rPr>
          <w:rFonts w:ascii="Times New Roman" w:eastAsia="方正仿宋_GBK" w:hAnsi="Times New Roman" w:cs="Times New Roman"/>
          <w:sz w:val="30"/>
          <w:szCs w:val="30"/>
        </w:rPr>
        <w:t>个月内，向一名（或一组）取得上市发行人控制权的人士（或其任何联系人）收购资产。</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14A.85 </w:t>
      </w:r>
      <w:r>
        <w:rPr>
          <w:rFonts w:ascii="Times New Roman" w:eastAsia="方正仿宋_GBK" w:hAnsi="Times New Roman" w:cs="Times New Roman"/>
          <w:sz w:val="30"/>
          <w:szCs w:val="30"/>
        </w:rPr>
        <w:t>上市发行人须提供交易详情予本交易所，让本交易所决定是否将交易合并计算。</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14A.86 </w:t>
      </w:r>
      <w:r>
        <w:rPr>
          <w:rFonts w:ascii="Times New Roman" w:eastAsia="方正仿宋_GBK" w:hAnsi="Times New Roman" w:cs="Times New Roman"/>
          <w:sz w:val="30"/>
          <w:szCs w:val="30"/>
        </w:rPr>
        <w:t>即使上市发行人并没有事先咨询本交易所，本交易所仍可将上市发行人的关连交易合并计算。</w:t>
      </w:r>
    </w:p>
    <w:p w:rsidR="00F43A36" w:rsidRDefault="00061A8A">
      <w:pPr>
        <w:autoSpaceDE w:val="0"/>
        <w:autoSpaceDN w:val="0"/>
        <w:adjustRightInd w:val="0"/>
        <w:spacing w:line="560" w:lineRule="exact"/>
        <w:ind w:firstLineChars="200" w:firstLine="602"/>
        <w:jc w:val="left"/>
        <w:rPr>
          <w:rFonts w:ascii="方正仿宋_GBK" w:eastAsia="方正仿宋_GBK"/>
          <w:b/>
          <w:bCs/>
          <w:sz w:val="30"/>
          <w:szCs w:val="30"/>
        </w:rPr>
      </w:pPr>
      <w:r>
        <w:rPr>
          <w:rFonts w:ascii="方正仿宋_GBK" w:eastAsia="方正仿宋_GBK" w:hint="eastAsia"/>
          <w:b/>
          <w:bCs/>
          <w:sz w:val="30"/>
          <w:szCs w:val="30"/>
        </w:rPr>
        <w:lastRenderedPageBreak/>
        <w:t>财务资助</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14A.87 </w:t>
      </w:r>
      <w:r>
        <w:rPr>
          <w:rFonts w:ascii="Times New Roman" w:eastAsia="方正仿宋_GBK" w:hAnsi="Times New Roman" w:cs="Times New Roman"/>
          <w:sz w:val="30"/>
          <w:szCs w:val="30"/>
        </w:rPr>
        <w:t>对于经营银行业务的公司在日常业务中，向关连人士或共同持有的实体提供的任何财务资助：</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(1) </w:t>
      </w:r>
      <w:r>
        <w:rPr>
          <w:rFonts w:ascii="Times New Roman" w:eastAsia="方正仿宋_GBK" w:hAnsi="Times New Roman" w:cs="Times New Roman"/>
          <w:sz w:val="30"/>
          <w:szCs w:val="30"/>
        </w:rPr>
        <w:t>如交易按一般商务条款或更佳条款进行，将可获得全面豁免；</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(2) </w:t>
      </w:r>
      <w:r>
        <w:rPr>
          <w:rFonts w:ascii="Times New Roman" w:eastAsia="方正仿宋_GBK" w:hAnsi="Times New Roman" w:cs="Times New Roman"/>
          <w:sz w:val="30"/>
          <w:szCs w:val="30"/>
        </w:rPr>
        <w:t>如交易并非按一般商务条款或更佳条款进行，但所有百分比率（盈利比率除外）均符合下列其中一个水平界线规定，交易将可获得全面豁免：</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(a) </w:t>
      </w:r>
      <w:r>
        <w:rPr>
          <w:rFonts w:ascii="Times New Roman" w:eastAsia="方正仿宋_GBK" w:hAnsi="Times New Roman" w:cs="Times New Roman"/>
          <w:sz w:val="30"/>
          <w:szCs w:val="30"/>
        </w:rPr>
        <w:t>低于</w:t>
      </w:r>
      <w:r>
        <w:rPr>
          <w:rFonts w:ascii="Times New Roman" w:eastAsia="方正仿宋_GBK" w:hAnsi="Times New Roman" w:cs="Times New Roman"/>
          <w:sz w:val="30"/>
          <w:szCs w:val="30"/>
        </w:rPr>
        <w:t>0.1%</w:t>
      </w:r>
      <w:r>
        <w:rPr>
          <w:rFonts w:ascii="Times New Roman" w:eastAsia="方正仿宋_GBK" w:hAnsi="Times New Roman" w:cs="Times New Roman"/>
          <w:sz w:val="30"/>
          <w:szCs w:val="30"/>
        </w:rPr>
        <w:t>；</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(b) </w:t>
      </w:r>
      <w:r>
        <w:rPr>
          <w:rFonts w:ascii="Times New Roman" w:eastAsia="方正仿宋_GBK" w:hAnsi="Times New Roman" w:cs="Times New Roman"/>
          <w:sz w:val="30"/>
          <w:szCs w:val="30"/>
        </w:rPr>
        <w:t>低于</w:t>
      </w:r>
      <w:r>
        <w:rPr>
          <w:rFonts w:ascii="Times New Roman" w:eastAsia="方正仿宋_GBK" w:hAnsi="Times New Roman" w:cs="Times New Roman"/>
          <w:sz w:val="30"/>
          <w:szCs w:val="30"/>
        </w:rPr>
        <w:t>1%</w:t>
      </w:r>
      <w:r>
        <w:rPr>
          <w:rFonts w:ascii="Times New Roman" w:eastAsia="方正仿宋_GBK" w:hAnsi="Times New Roman" w:cs="Times New Roman"/>
          <w:sz w:val="30"/>
          <w:szCs w:val="30"/>
        </w:rPr>
        <w:t>，而有关交易之所以构成一项关连交易，纯粹因为交易涉及附属公司层面的关连人士；或</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(c) </w:t>
      </w:r>
      <w:r>
        <w:rPr>
          <w:rFonts w:ascii="Times New Roman" w:eastAsia="方正仿宋_GBK" w:hAnsi="Times New Roman" w:cs="Times New Roman"/>
          <w:sz w:val="30"/>
          <w:szCs w:val="30"/>
        </w:rPr>
        <w:t>低于</w:t>
      </w:r>
      <w:r>
        <w:rPr>
          <w:rFonts w:ascii="Times New Roman" w:eastAsia="方正仿宋_GBK" w:hAnsi="Times New Roman" w:cs="Times New Roman"/>
          <w:sz w:val="30"/>
          <w:szCs w:val="30"/>
        </w:rPr>
        <w:t>5%</w:t>
      </w:r>
      <w:r>
        <w:rPr>
          <w:rFonts w:ascii="Times New Roman" w:eastAsia="方正仿宋_GBK" w:hAnsi="Times New Roman" w:cs="Times New Roman"/>
          <w:sz w:val="30"/>
          <w:szCs w:val="30"/>
        </w:rPr>
        <w:t>，而有关财务资助连同该关连人士或共同持有的实体所得任何金钱利益合计的总值亦低于</w:t>
      </w:r>
      <w:r>
        <w:rPr>
          <w:rFonts w:ascii="Times New Roman" w:eastAsia="方正仿宋_GBK" w:hAnsi="Times New Roman" w:cs="Times New Roman"/>
          <w:sz w:val="30"/>
          <w:szCs w:val="30"/>
        </w:rPr>
        <w:t>300</w:t>
      </w:r>
      <w:r>
        <w:rPr>
          <w:rFonts w:ascii="Times New Roman" w:eastAsia="方正仿宋_GBK" w:hAnsi="Times New Roman" w:cs="Times New Roman"/>
          <w:sz w:val="30"/>
          <w:szCs w:val="30"/>
        </w:rPr>
        <w:t>万港元；或</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(3) </w:t>
      </w:r>
      <w:r>
        <w:rPr>
          <w:rFonts w:ascii="Times New Roman" w:eastAsia="方正仿宋_GBK" w:hAnsi="Times New Roman" w:cs="Times New Roman"/>
          <w:sz w:val="30"/>
          <w:szCs w:val="30"/>
        </w:rPr>
        <w:t>如交易并非按一般商务条款或更佳条款进行，但所有百分比率（盈利比率除外）均符合下列其中一个水平界线规定，交易将可获得豁免遵守有关通函、独立财务意见及股东批准的规定：</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(a) </w:t>
      </w:r>
      <w:r>
        <w:rPr>
          <w:rFonts w:ascii="Times New Roman" w:eastAsia="方正仿宋_GBK" w:hAnsi="Times New Roman" w:cs="Times New Roman"/>
          <w:sz w:val="30"/>
          <w:szCs w:val="30"/>
        </w:rPr>
        <w:t>低于</w:t>
      </w:r>
      <w:r>
        <w:rPr>
          <w:rFonts w:ascii="Times New Roman" w:eastAsia="方正仿宋_GBK" w:hAnsi="Times New Roman" w:cs="Times New Roman"/>
          <w:sz w:val="30"/>
          <w:szCs w:val="30"/>
        </w:rPr>
        <w:t>5%</w:t>
      </w:r>
      <w:r>
        <w:rPr>
          <w:rFonts w:ascii="Times New Roman" w:eastAsia="方正仿宋_GBK" w:hAnsi="Times New Roman" w:cs="Times New Roman"/>
          <w:sz w:val="30"/>
          <w:szCs w:val="30"/>
        </w:rPr>
        <w:t>；或</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(b) </w:t>
      </w:r>
      <w:r>
        <w:rPr>
          <w:rFonts w:ascii="Times New Roman" w:eastAsia="方正仿宋_GBK" w:hAnsi="Times New Roman" w:cs="Times New Roman"/>
          <w:sz w:val="30"/>
          <w:szCs w:val="30"/>
        </w:rPr>
        <w:t>低于</w:t>
      </w:r>
      <w:r>
        <w:rPr>
          <w:rFonts w:ascii="Times New Roman" w:eastAsia="方正仿宋_GBK" w:hAnsi="Times New Roman" w:cs="Times New Roman"/>
          <w:sz w:val="30"/>
          <w:szCs w:val="30"/>
        </w:rPr>
        <w:t>25%</w:t>
      </w:r>
      <w:r>
        <w:rPr>
          <w:rFonts w:ascii="Times New Roman" w:eastAsia="方正仿宋_GBK" w:hAnsi="Times New Roman" w:cs="Times New Roman"/>
          <w:sz w:val="30"/>
          <w:szCs w:val="30"/>
        </w:rPr>
        <w:t>，而有关财务资助连同该关连人士或共同持有的实体所得任何金钱利益合计的总值亦低于</w:t>
      </w:r>
      <w:r>
        <w:rPr>
          <w:rFonts w:ascii="Times New Roman" w:eastAsia="方正仿宋_GBK" w:hAnsi="Times New Roman" w:cs="Times New Roman"/>
          <w:sz w:val="30"/>
          <w:szCs w:val="30"/>
        </w:rPr>
        <w:t>1,000</w:t>
      </w:r>
      <w:r>
        <w:rPr>
          <w:rFonts w:ascii="Times New Roman" w:eastAsia="方正仿宋_GBK" w:hAnsi="Times New Roman" w:cs="Times New Roman"/>
          <w:sz w:val="30"/>
          <w:szCs w:val="30"/>
        </w:rPr>
        <w:t>万港元。</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14A.88 </w:t>
      </w:r>
      <w:r>
        <w:rPr>
          <w:rFonts w:ascii="Times New Roman" w:eastAsia="方正仿宋_GBK" w:hAnsi="Times New Roman" w:cs="Times New Roman"/>
          <w:sz w:val="30"/>
          <w:szCs w:val="30"/>
        </w:rPr>
        <w:t>「经营银行业务的公司」指上市发行人或其附属公司本身是银行、《银行条例》所指的有限制牌照银行或接受存款公司、又或根据海外适当的海外法例或权力组成的银行。</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14A.89 </w:t>
      </w:r>
      <w:r>
        <w:rPr>
          <w:rFonts w:ascii="Times New Roman" w:eastAsia="方正仿宋_GBK" w:hAnsi="Times New Roman" w:cs="Times New Roman"/>
          <w:sz w:val="30"/>
          <w:szCs w:val="30"/>
        </w:rPr>
        <w:t>如属以下情况，上市发行人集团向关连人士或共同</w:t>
      </w:r>
      <w:r>
        <w:rPr>
          <w:rFonts w:ascii="Times New Roman" w:eastAsia="方正仿宋_GBK" w:hAnsi="Times New Roman" w:cs="Times New Roman"/>
          <w:sz w:val="30"/>
          <w:szCs w:val="30"/>
        </w:rPr>
        <w:lastRenderedPageBreak/>
        <w:t>持有的实体提供的财务资助将可获得全面豁免：</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(1) </w:t>
      </w:r>
      <w:r>
        <w:rPr>
          <w:rFonts w:ascii="Times New Roman" w:eastAsia="方正仿宋_GBK" w:hAnsi="Times New Roman" w:cs="Times New Roman"/>
          <w:sz w:val="30"/>
          <w:szCs w:val="30"/>
        </w:rPr>
        <w:t>有关资助是按一般商务条款或更佳条款进行；及</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(2) </w:t>
      </w:r>
      <w:r>
        <w:rPr>
          <w:rFonts w:ascii="Times New Roman" w:eastAsia="方正仿宋_GBK" w:hAnsi="Times New Roman" w:cs="Times New Roman"/>
          <w:sz w:val="30"/>
          <w:szCs w:val="30"/>
        </w:rPr>
        <w:t>上市发行人集团所提供的有关资助，符合上市发行人或其附属公司于该关连人士或共同持有的实体所直接持有股本权益的比例。任何由上市发行人集团提供的担保必须为个别担保（而非共同及个别担保）。</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14A.90 </w:t>
      </w:r>
      <w:r>
        <w:rPr>
          <w:rFonts w:ascii="Times New Roman" w:eastAsia="方正仿宋_GBK" w:hAnsi="Times New Roman" w:cs="Times New Roman"/>
          <w:sz w:val="30"/>
          <w:szCs w:val="30"/>
        </w:rPr>
        <w:t>如属以下情况，上市发行人集团从关连人士或共同持有的实体收取的财务资助将可获得全面豁免：</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(1) </w:t>
      </w:r>
      <w:r>
        <w:rPr>
          <w:rFonts w:ascii="Times New Roman" w:eastAsia="方正仿宋_GBK" w:hAnsi="Times New Roman" w:cs="Times New Roman"/>
          <w:sz w:val="30"/>
          <w:szCs w:val="30"/>
        </w:rPr>
        <w:t>有关资助是按一般商务条款或更佳条款进行；及</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(2) </w:t>
      </w:r>
      <w:r>
        <w:rPr>
          <w:rFonts w:ascii="Times New Roman" w:eastAsia="方正仿宋_GBK" w:hAnsi="Times New Roman" w:cs="Times New Roman"/>
          <w:sz w:val="30"/>
          <w:szCs w:val="30"/>
        </w:rPr>
        <w:t>有关资助并无以上市发行人集团的资产作抵押。</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14A.91 </w:t>
      </w:r>
      <w:r>
        <w:rPr>
          <w:rFonts w:ascii="Times New Roman" w:eastAsia="方正仿宋_GBK" w:hAnsi="Times New Roman" w:cs="Times New Roman"/>
          <w:sz w:val="30"/>
          <w:szCs w:val="30"/>
        </w:rPr>
        <w:t>如属以下情况，向上市发行人或其附属公司董事提供赔偿保证将可获得全面豁免：</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(1) </w:t>
      </w:r>
      <w:r>
        <w:rPr>
          <w:rFonts w:ascii="Times New Roman" w:eastAsia="方正仿宋_GBK" w:hAnsi="Times New Roman" w:cs="Times New Roman"/>
          <w:sz w:val="30"/>
          <w:szCs w:val="30"/>
        </w:rPr>
        <w:t>有关赔偿保证涉及董事履行职责时可能产生的赔偿责任；及</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(2) </w:t>
      </w:r>
      <w:r>
        <w:rPr>
          <w:rFonts w:ascii="Times New Roman" w:eastAsia="方正仿宋_GBK" w:hAnsi="Times New Roman" w:cs="Times New Roman"/>
          <w:sz w:val="30"/>
          <w:szCs w:val="30"/>
        </w:rPr>
        <w:t>有关赔偿保证的形式是香港法例及（若提供赔偿保证的公司注册成立所在司法权区在香港境外）该公司注册成立地的法例所容许的。</w:t>
      </w:r>
    </w:p>
    <w:p w:rsidR="00F43A36" w:rsidRDefault="00061A8A">
      <w:pPr>
        <w:autoSpaceDE w:val="0"/>
        <w:autoSpaceDN w:val="0"/>
        <w:adjustRightInd w:val="0"/>
        <w:spacing w:line="560" w:lineRule="exact"/>
        <w:ind w:firstLineChars="200" w:firstLine="602"/>
        <w:jc w:val="left"/>
        <w:rPr>
          <w:rFonts w:ascii="方正仿宋_GBK" w:eastAsia="方正仿宋_GBK"/>
          <w:b/>
          <w:bCs/>
          <w:sz w:val="30"/>
          <w:szCs w:val="30"/>
        </w:rPr>
      </w:pPr>
      <w:r>
        <w:rPr>
          <w:rFonts w:ascii="方正仿宋_GBK" w:eastAsia="方正仿宋_GBK" w:hint="eastAsia"/>
          <w:b/>
          <w:bCs/>
          <w:sz w:val="30"/>
          <w:szCs w:val="30"/>
        </w:rPr>
        <w:t>上市发行人或其附属公司发行新证券</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14A.92 </w:t>
      </w:r>
      <w:r>
        <w:rPr>
          <w:rFonts w:ascii="Times New Roman" w:eastAsia="方正仿宋_GBK" w:hAnsi="Times New Roman" w:cs="Times New Roman"/>
          <w:sz w:val="30"/>
          <w:szCs w:val="30"/>
        </w:rPr>
        <w:t>如属以下情况，上市发行人或其附属公司向关连人士发行新证券将可获得全面豁免：</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(1) </w:t>
      </w:r>
      <w:r>
        <w:rPr>
          <w:rFonts w:ascii="Times New Roman" w:eastAsia="方正仿宋_GBK" w:hAnsi="Times New Roman" w:cs="Times New Roman"/>
          <w:sz w:val="30"/>
          <w:szCs w:val="30"/>
        </w:rPr>
        <w:t>该关连人士以股东身份，接受按其股权比例所应得的证券；</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(2) </w:t>
      </w:r>
      <w:r>
        <w:rPr>
          <w:rFonts w:ascii="Times New Roman" w:eastAsia="方正仿宋_GBK" w:hAnsi="Times New Roman" w:cs="Times New Roman"/>
          <w:sz w:val="30"/>
          <w:szCs w:val="30"/>
        </w:rPr>
        <w:t>关连人士在供股或公开招股中透过以下方式认购证券：</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(a) </w:t>
      </w:r>
      <w:r>
        <w:rPr>
          <w:rFonts w:ascii="Times New Roman" w:eastAsia="方正仿宋_GBK" w:hAnsi="Times New Roman" w:cs="Times New Roman"/>
          <w:sz w:val="30"/>
          <w:szCs w:val="30"/>
        </w:rPr>
        <w:t>透过额外申请（见《上市规则》第</w:t>
      </w:r>
      <w:r>
        <w:rPr>
          <w:rFonts w:ascii="Times New Roman" w:eastAsia="方正仿宋_GBK" w:hAnsi="Times New Roman" w:cs="Times New Roman"/>
          <w:sz w:val="30"/>
          <w:szCs w:val="30"/>
        </w:rPr>
        <w:t>7.21(1</w:t>
      </w:r>
      <w:r>
        <w:rPr>
          <w:rFonts w:ascii="Times New Roman" w:eastAsia="方正仿宋_GBK" w:hAnsi="Times New Roman" w:cs="Times New Roman"/>
          <w:sz w:val="30"/>
          <w:szCs w:val="30"/>
        </w:rPr>
        <w:t>）或</w:t>
      </w:r>
      <w:r>
        <w:rPr>
          <w:rFonts w:ascii="Times New Roman" w:eastAsia="方正仿宋_GBK" w:hAnsi="Times New Roman" w:cs="Times New Roman"/>
          <w:sz w:val="30"/>
          <w:szCs w:val="30"/>
        </w:rPr>
        <w:t>7.26A(1)</w:t>
      </w:r>
      <w:r>
        <w:rPr>
          <w:rFonts w:ascii="Times New Roman" w:eastAsia="方正仿宋_GBK" w:hAnsi="Times New Roman" w:cs="Times New Roman"/>
          <w:sz w:val="30"/>
          <w:szCs w:val="30"/>
        </w:rPr>
        <w:t>条）；</w:t>
      </w:r>
      <w:r>
        <w:rPr>
          <w:rFonts w:ascii="Times New Roman" w:eastAsia="方正仿宋_GBK" w:hAnsi="Times New Roman" w:cs="Times New Roman"/>
          <w:sz w:val="30"/>
          <w:szCs w:val="30"/>
        </w:rPr>
        <w:lastRenderedPageBreak/>
        <w:t>或</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(b) </w:t>
      </w:r>
      <w:r>
        <w:rPr>
          <w:rFonts w:ascii="Times New Roman" w:eastAsia="方正仿宋_GBK" w:hAnsi="Times New Roman" w:cs="Times New Roman"/>
          <w:sz w:val="30"/>
          <w:szCs w:val="30"/>
        </w:rPr>
        <w:t>以其本身作为供股或公开招股包销商或分包销商的身份，并已符合《上市规则》第</w:t>
      </w:r>
      <w:r>
        <w:rPr>
          <w:rFonts w:ascii="Times New Roman" w:eastAsia="方正仿宋_GBK" w:hAnsi="Times New Roman" w:cs="Times New Roman"/>
          <w:sz w:val="30"/>
          <w:szCs w:val="30"/>
        </w:rPr>
        <w:t>7.21</w:t>
      </w:r>
      <w:r>
        <w:rPr>
          <w:rFonts w:ascii="Times New Roman" w:eastAsia="方正仿宋_GBK" w:hAnsi="Times New Roman" w:cs="Times New Roman"/>
          <w:sz w:val="30"/>
          <w:szCs w:val="30"/>
        </w:rPr>
        <w:t>或</w:t>
      </w:r>
      <w:r>
        <w:rPr>
          <w:rFonts w:ascii="Times New Roman" w:eastAsia="方正仿宋_GBK" w:hAnsi="Times New Roman" w:cs="Times New Roman"/>
          <w:sz w:val="30"/>
          <w:szCs w:val="30"/>
        </w:rPr>
        <w:t>7.26A</w:t>
      </w:r>
      <w:r>
        <w:rPr>
          <w:rFonts w:ascii="Times New Roman" w:eastAsia="方正仿宋_GBK" w:hAnsi="Times New Roman" w:cs="Times New Roman"/>
          <w:sz w:val="30"/>
          <w:szCs w:val="30"/>
        </w:rPr>
        <w:t>条（出售任何额外证券安排）的规定。在这情况下，上市文件须载有包销安排的条款及条件；</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注：</w:t>
      </w:r>
      <w:r>
        <w:rPr>
          <w:rFonts w:ascii="Times New Roman" w:eastAsia="方正仿宋_GBK" w:hAnsi="Times New Roman" w:cs="Times New Roman"/>
          <w:sz w:val="30"/>
          <w:szCs w:val="30"/>
        </w:rPr>
        <w:t xml:space="preserve"> </w:t>
      </w:r>
      <w:r>
        <w:rPr>
          <w:rFonts w:ascii="Times New Roman" w:eastAsia="方正仿宋_GBK" w:hAnsi="Times New Roman" w:cs="Times New Roman"/>
          <w:sz w:val="30"/>
          <w:szCs w:val="30"/>
        </w:rPr>
        <w:t>上市发行人集团就包销安排向关连人士缴付的任何佣金或费用，都不可按此豁免条文获得豁免。</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(3) </w:t>
      </w:r>
      <w:r>
        <w:rPr>
          <w:rFonts w:ascii="Times New Roman" w:eastAsia="方正仿宋_GBK" w:hAnsi="Times New Roman" w:cs="Times New Roman"/>
          <w:sz w:val="30"/>
          <w:szCs w:val="30"/>
        </w:rPr>
        <w:t>证券乃根据以下计划发行予关连人士：</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(a) </w:t>
      </w:r>
      <w:r>
        <w:rPr>
          <w:rFonts w:ascii="Times New Roman" w:eastAsia="方正仿宋_GBK" w:hAnsi="Times New Roman" w:cs="Times New Roman"/>
          <w:sz w:val="30"/>
          <w:szCs w:val="30"/>
        </w:rPr>
        <w:t>符合《上市规则》第十七章规定的股份期权计划；或</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(b) </w:t>
      </w:r>
      <w:r>
        <w:rPr>
          <w:rFonts w:ascii="Times New Roman" w:eastAsia="方正仿宋_GBK" w:hAnsi="Times New Roman" w:cs="Times New Roman"/>
          <w:sz w:val="30"/>
          <w:szCs w:val="30"/>
        </w:rPr>
        <w:t>在上市发行人证券首次在本交易所开始买卖前已获采纳的股份期权计划，而本交易所亦已批准根据该计划发行的证券上市；或</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(4) </w:t>
      </w:r>
      <w:r>
        <w:rPr>
          <w:rFonts w:ascii="Times New Roman" w:eastAsia="方正仿宋_GBK" w:hAnsi="Times New Roman" w:cs="Times New Roman"/>
          <w:sz w:val="30"/>
          <w:szCs w:val="30"/>
        </w:rPr>
        <w:t>证券乃根据符合下列条件的「先旧后新的配售及认购」而发行：</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(a) </w:t>
      </w:r>
      <w:r>
        <w:rPr>
          <w:rFonts w:ascii="Times New Roman" w:eastAsia="方正仿宋_GBK" w:hAnsi="Times New Roman" w:cs="Times New Roman"/>
          <w:sz w:val="30"/>
          <w:szCs w:val="30"/>
        </w:rPr>
        <w:t>新证券发行予关连人士的时间如下：</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(i) </w:t>
      </w:r>
      <w:r>
        <w:rPr>
          <w:rFonts w:ascii="Times New Roman" w:eastAsia="方正仿宋_GBK" w:hAnsi="Times New Roman" w:cs="Times New Roman"/>
          <w:sz w:val="30"/>
          <w:szCs w:val="30"/>
        </w:rPr>
        <w:t>在该关连人士根据配售协议向第三者（并不属该关连人士的联系人）配售证券减持其于该类证券的持股之后；及</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(ii) </w:t>
      </w:r>
      <w:r>
        <w:rPr>
          <w:rFonts w:ascii="Times New Roman" w:eastAsia="方正仿宋_GBK" w:hAnsi="Times New Roman" w:cs="Times New Roman"/>
          <w:sz w:val="30"/>
          <w:szCs w:val="30"/>
        </w:rPr>
        <w:t>在配售协议日期起计</w:t>
      </w:r>
      <w:r>
        <w:rPr>
          <w:rFonts w:ascii="Times New Roman" w:eastAsia="方正仿宋_GBK" w:hAnsi="Times New Roman" w:cs="Times New Roman"/>
          <w:sz w:val="30"/>
          <w:szCs w:val="30"/>
        </w:rPr>
        <w:t>14</w:t>
      </w:r>
      <w:r>
        <w:rPr>
          <w:rFonts w:ascii="Times New Roman" w:eastAsia="方正仿宋_GBK" w:hAnsi="Times New Roman" w:cs="Times New Roman"/>
          <w:sz w:val="30"/>
          <w:szCs w:val="30"/>
        </w:rPr>
        <w:t>天内；</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(b) </w:t>
      </w:r>
      <w:r>
        <w:rPr>
          <w:rFonts w:ascii="Times New Roman" w:eastAsia="方正仿宋_GBK" w:hAnsi="Times New Roman" w:cs="Times New Roman"/>
          <w:sz w:val="30"/>
          <w:szCs w:val="30"/>
        </w:rPr>
        <w:t>发行予该关连人士的新证券数目不超过其配售证券的数目；及</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(c) </w:t>
      </w:r>
      <w:r>
        <w:rPr>
          <w:rFonts w:ascii="Times New Roman" w:eastAsia="方正仿宋_GBK" w:hAnsi="Times New Roman" w:cs="Times New Roman"/>
          <w:sz w:val="30"/>
          <w:szCs w:val="30"/>
        </w:rPr>
        <w:t>该等新证券的发行价不低于配售价。配售价可因应配售费用作出调整。</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注：</w:t>
      </w:r>
      <w:r>
        <w:rPr>
          <w:rFonts w:ascii="Times New Roman" w:eastAsia="方正仿宋_GBK" w:hAnsi="Times New Roman" w:cs="Times New Roman"/>
          <w:sz w:val="30"/>
          <w:szCs w:val="30"/>
        </w:rPr>
        <w:t xml:space="preserve"> </w:t>
      </w:r>
      <w:r>
        <w:rPr>
          <w:rFonts w:ascii="Times New Roman" w:eastAsia="方正仿宋_GBK" w:hAnsi="Times New Roman" w:cs="Times New Roman"/>
          <w:sz w:val="30"/>
          <w:szCs w:val="30"/>
        </w:rPr>
        <w:t>上市发行人旗下附属公司发行新证券，可通过作为符合最低豁免水平的交易而获得豁免。</w:t>
      </w:r>
    </w:p>
    <w:p w:rsidR="00F43A36" w:rsidRDefault="00061A8A">
      <w:pPr>
        <w:autoSpaceDE w:val="0"/>
        <w:autoSpaceDN w:val="0"/>
        <w:adjustRightInd w:val="0"/>
        <w:spacing w:line="560" w:lineRule="exact"/>
        <w:ind w:firstLineChars="200" w:firstLine="602"/>
        <w:jc w:val="left"/>
        <w:rPr>
          <w:rFonts w:ascii="方正仿宋_GBK" w:eastAsia="方正仿宋_GBK"/>
          <w:b/>
          <w:bCs/>
          <w:sz w:val="30"/>
          <w:szCs w:val="30"/>
        </w:rPr>
      </w:pPr>
      <w:r>
        <w:rPr>
          <w:rFonts w:ascii="方正仿宋_GBK" w:eastAsia="方正仿宋_GBK" w:hint="eastAsia"/>
          <w:b/>
          <w:bCs/>
          <w:sz w:val="30"/>
          <w:szCs w:val="30"/>
        </w:rPr>
        <w:lastRenderedPageBreak/>
        <w:t>在证券交易所证券买卖</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14A.93 </w:t>
      </w:r>
      <w:r>
        <w:rPr>
          <w:rFonts w:ascii="Times New Roman" w:eastAsia="方正仿宋_GBK" w:hAnsi="Times New Roman" w:cs="Times New Roman"/>
          <w:sz w:val="30"/>
          <w:szCs w:val="30"/>
        </w:rPr>
        <w:t>如符合以下条件，上市发行人集团买卖目标公司的证券（即《上市规则》第</w:t>
      </w:r>
      <w:r>
        <w:rPr>
          <w:rFonts w:ascii="Times New Roman" w:eastAsia="方正仿宋_GBK" w:hAnsi="Times New Roman" w:cs="Times New Roman"/>
          <w:sz w:val="30"/>
          <w:szCs w:val="30"/>
        </w:rPr>
        <w:t>14A.28</w:t>
      </w:r>
      <w:r>
        <w:rPr>
          <w:rFonts w:ascii="Times New Roman" w:eastAsia="方正仿宋_GBK" w:hAnsi="Times New Roman" w:cs="Times New Roman"/>
          <w:sz w:val="30"/>
          <w:szCs w:val="30"/>
        </w:rPr>
        <w:t>条所述的关连交易）将可获得全面豁免：</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(1) </w:t>
      </w:r>
      <w:r>
        <w:rPr>
          <w:rFonts w:ascii="Times New Roman" w:eastAsia="方正仿宋_GBK" w:hAnsi="Times New Roman" w:cs="Times New Roman"/>
          <w:sz w:val="30"/>
          <w:szCs w:val="30"/>
        </w:rPr>
        <w:t>有关交易属上市发行人集团在日常业务中进行的证券交易；</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(2) </w:t>
      </w:r>
      <w:r>
        <w:rPr>
          <w:rFonts w:ascii="Times New Roman" w:eastAsia="方正仿宋_GBK" w:hAnsi="Times New Roman" w:cs="Times New Roman"/>
          <w:sz w:val="30"/>
          <w:szCs w:val="30"/>
        </w:rPr>
        <w:t>有关证券是在本交易所或认可证券交易所上市；</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(3) </w:t>
      </w:r>
      <w:r>
        <w:rPr>
          <w:rFonts w:ascii="Times New Roman" w:eastAsia="方正仿宋_GBK" w:hAnsi="Times New Roman" w:cs="Times New Roman"/>
          <w:sz w:val="30"/>
          <w:szCs w:val="30"/>
        </w:rPr>
        <w:t>有关交易是在本交易所或认可证券交易所进行；若非如此，关连人士并无收取或支付任何代价；及</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(4) </w:t>
      </w:r>
      <w:r>
        <w:rPr>
          <w:rFonts w:ascii="Times New Roman" w:eastAsia="方正仿宋_GBK" w:hAnsi="Times New Roman" w:cs="Times New Roman"/>
          <w:sz w:val="30"/>
          <w:szCs w:val="30"/>
        </w:rPr>
        <w:t>交易的目的并非为了向本身是目标公司主要股东的关连人士授予直接或间接利益。</w:t>
      </w:r>
    </w:p>
    <w:p w:rsidR="00F43A36" w:rsidRDefault="00061A8A">
      <w:pPr>
        <w:autoSpaceDE w:val="0"/>
        <w:autoSpaceDN w:val="0"/>
        <w:adjustRightInd w:val="0"/>
        <w:spacing w:line="560" w:lineRule="exact"/>
        <w:ind w:firstLineChars="200" w:firstLine="602"/>
        <w:jc w:val="left"/>
        <w:rPr>
          <w:rFonts w:ascii="方正仿宋_GBK" w:eastAsia="方正仿宋_GBK"/>
          <w:b/>
          <w:bCs/>
          <w:sz w:val="30"/>
          <w:szCs w:val="30"/>
        </w:rPr>
      </w:pPr>
      <w:r>
        <w:rPr>
          <w:rFonts w:ascii="方正仿宋_GBK" w:eastAsia="方正仿宋_GBK" w:hint="eastAsia"/>
          <w:b/>
          <w:bCs/>
          <w:sz w:val="30"/>
          <w:szCs w:val="30"/>
        </w:rPr>
        <w:t>上市发行人或其附属公司购回证券</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14A.94 </w:t>
      </w:r>
      <w:r>
        <w:rPr>
          <w:rFonts w:ascii="Times New Roman" w:eastAsia="方正仿宋_GBK" w:hAnsi="Times New Roman" w:cs="Times New Roman"/>
          <w:sz w:val="30"/>
          <w:szCs w:val="30"/>
        </w:rPr>
        <w:t>上市发行人或其附属公司向关连人士购回本身证券，如符合以下条件，将可获得全面豁免：</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(1) </w:t>
      </w:r>
      <w:r>
        <w:rPr>
          <w:rFonts w:ascii="Times New Roman" w:eastAsia="方正仿宋_GBK" w:hAnsi="Times New Roman" w:cs="Times New Roman"/>
          <w:sz w:val="30"/>
          <w:szCs w:val="30"/>
        </w:rPr>
        <w:t>该证券购回是在本交易所或认可证券交易所进行（除非关连人士明知而将该等证券售予上市发行人集团）；或</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(2) </w:t>
      </w:r>
      <w:r>
        <w:rPr>
          <w:rFonts w:ascii="Times New Roman" w:eastAsia="方正仿宋_GBK" w:hAnsi="Times New Roman" w:cs="Times New Roman"/>
          <w:sz w:val="30"/>
          <w:szCs w:val="30"/>
        </w:rPr>
        <w:t>该证券购回是根据《公司股份回购守则》所提出全面收购建议而进行。</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董事的服务合约及保险</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14A.95 </w:t>
      </w:r>
      <w:r>
        <w:rPr>
          <w:rFonts w:ascii="Times New Roman" w:eastAsia="方正仿宋_GBK" w:hAnsi="Times New Roman" w:cs="Times New Roman"/>
          <w:sz w:val="30"/>
          <w:szCs w:val="30"/>
        </w:rPr>
        <w:t>董事与上市发行人或其附属公司订立的服务合约，将可获得全面豁免。</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14A.96 </w:t>
      </w:r>
      <w:r>
        <w:rPr>
          <w:rFonts w:ascii="Times New Roman" w:eastAsia="方正仿宋_GBK" w:hAnsi="Times New Roman" w:cs="Times New Roman"/>
          <w:sz w:val="30"/>
          <w:szCs w:val="30"/>
        </w:rPr>
        <w:t>上市发行人集团就上市发行人或其附属公司的董事可能因履行职责而招致的第三者责任，因而为其购买保险及安排续期可获得全面豁免，但相关保险的形式必须是香港法例及（若</w:t>
      </w:r>
      <w:r>
        <w:rPr>
          <w:rFonts w:ascii="Times New Roman" w:eastAsia="方正仿宋_GBK" w:hAnsi="Times New Roman" w:cs="Times New Roman"/>
          <w:sz w:val="30"/>
          <w:szCs w:val="30"/>
        </w:rPr>
        <w:lastRenderedPageBreak/>
        <w:t>购买保险的公司注册成立所在司法权区在香港境外）该公司注册成立地的法例所容许的。</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购买或出售消费品或消费服务</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14A.97 </w:t>
      </w:r>
      <w:r>
        <w:rPr>
          <w:rFonts w:ascii="Times New Roman" w:eastAsia="方正仿宋_GBK" w:hAnsi="Times New Roman" w:cs="Times New Roman"/>
          <w:sz w:val="30"/>
          <w:szCs w:val="30"/>
        </w:rPr>
        <w:t>上市发行人集团在日常业务中按照一般商务条款或更佳条款，以顾客身份向关连人士购买消费品或消费服务，或出售消费品或消费服务，如符合以下条件，将可获得全面豁免：</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(1) </w:t>
      </w:r>
      <w:r>
        <w:rPr>
          <w:rFonts w:ascii="Times New Roman" w:eastAsia="方正仿宋_GBK" w:hAnsi="Times New Roman" w:cs="Times New Roman"/>
          <w:sz w:val="30"/>
          <w:szCs w:val="30"/>
        </w:rPr>
        <w:t>相关货品或服务必须属一般供应自用或消费的类别；</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(2) </w:t>
      </w:r>
      <w:r>
        <w:rPr>
          <w:rFonts w:ascii="Times New Roman" w:eastAsia="方正仿宋_GBK" w:hAnsi="Times New Roman" w:cs="Times New Roman"/>
          <w:sz w:val="30"/>
          <w:szCs w:val="30"/>
        </w:rPr>
        <w:t>相关货品或服务必须是由买方自用，而不得：</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(a) </w:t>
      </w:r>
      <w:r>
        <w:rPr>
          <w:rFonts w:ascii="Times New Roman" w:eastAsia="方正仿宋_GBK" w:hAnsi="Times New Roman" w:cs="Times New Roman"/>
          <w:sz w:val="30"/>
          <w:szCs w:val="30"/>
        </w:rPr>
        <w:t>加工成为买方的产品或作转售；或</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(b) </w:t>
      </w:r>
      <w:r>
        <w:rPr>
          <w:rFonts w:ascii="Times New Roman" w:eastAsia="方正仿宋_GBK" w:hAnsi="Times New Roman" w:cs="Times New Roman"/>
          <w:sz w:val="30"/>
          <w:szCs w:val="30"/>
        </w:rPr>
        <w:t>由买方用于本身任何业务或计划业务。倘若上市发行人集团是买方，及有关消费品或消费服务有公开市场，而定价具有透明度，本条件则不适用</w:t>
      </w:r>
      <w:r>
        <w:rPr>
          <w:rFonts w:ascii="Times New Roman" w:eastAsia="方正仿宋_GBK" w:hAnsi="Times New Roman" w:cs="Times New Roman" w:hint="eastAsia"/>
          <w:sz w:val="30"/>
          <w:szCs w:val="30"/>
        </w:rPr>
        <w:t>。</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(3) </w:t>
      </w:r>
      <w:r>
        <w:rPr>
          <w:rFonts w:ascii="Times New Roman" w:eastAsia="方正仿宋_GBK" w:hAnsi="Times New Roman" w:cs="Times New Roman"/>
          <w:sz w:val="30"/>
          <w:szCs w:val="30"/>
        </w:rPr>
        <w:t>由买方消费或使用相关货品或服务时的状态，须与买方购买时相同；及</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(4) </w:t>
      </w:r>
      <w:r>
        <w:rPr>
          <w:rFonts w:ascii="Times New Roman" w:eastAsia="方正仿宋_GBK" w:hAnsi="Times New Roman" w:cs="Times New Roman"/>
          <w:sz w:val="30"/>
          <w:szCs w:val="30"/>
        </w:rPr>
        <w:t>有关交易的条款对关连人士而言，不得优于独立第三方可获得的条款，或对发行人集团而言，不得逊于独立第三方可提供的条款。</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注：</w:t>
      </w:r>
      <w:r>
        <w:rPr>
          <w:rFonts w:ascii="Times New Roman" w:eastAsia="方正仿宋_GBK" w:hAnsi="Times New Roman" w:cs="Times New Roman"/>
          <w:sz w:val="30"/>
          <w:szCs w:val="30"/>
        </w:rPr>
        <w:t xml:space="preserve"> </w:t>
      </w:r>
      <w:r>
        <w:rPr>
          <w:rFonts w:ascii="Times New Roman" w:eastAsia="方正仿宋_GBK" w:hAnsi="Times New Roman" w:cs="Times New Roman"/>
          <w:sz w:val="30"/>
          <w:szCs w:val="30"/>
        </w:rPr>
        <w:t>以下是消费品及消费服务的例子：</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(1) </w:t>
      </w:r>
      <w:r>
        <w:rPr>
          <w:rFonts w:ascii="Times New Roman" w:eastAsia="方正仿宋_GBK" w:hAnsi="Times New Roman" w:cs="Times New Roman"/>
          <w:sz w:val="30"/>
          <w:szCs w:val="30"/>
        </w:rPr>
        <w:t>董事在上市发行人集团经营的餐厅用膳。</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(2) </w:t>
      </w:r>
      <w:r>
        <w:rPr>
          <w:rFonts w:ascii="Times New Roman" w:eastAsia="方正仿宋_GBK" w:hAnsi="Times New Roman" w:cs="Times New Roman"/>
          <w:sz w:val="30"/>
          <w:szCs w:val="30"/>
        </w:rPr>
        <w:t>董事在上市发行人集团经营的零售商店购买日用品自用。</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(3) </w:t>
      </w:r>
      <w:r>
        <w:rPr>
          <w:rFonts w:ascii="Times New Roman" w:eastAsia="方正仿宋_GBK" w:hAnsi="Times New Roman" w:cs="Times New Roman"/>
          <w:sz w:val="30"/>
          <w:szCs w:val="30"/>
        </w:rPr>
        <w:t>上市发行人集团为董事寓所提供水电服务。</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(4) </w:t>
      </w:r>
      <w:r>
        <w:rPr>
          <w:rFonts w:ascii="Times New Roman" w:eastAsia="方正仿宋_GBK" w:hAnsi="Times New Roman" w:cs="Times New Roman"/>
          <w:sz w:val="30"/>
          <w:szCs w:val="30"/>
        </w:rPr>
        <w:t>关连人士向上市发行人集团提供水电服务，而价格经已刊发或公开报价，并适用于其他独立消费者。</w:t>
      </w:r>
    </w:p>
    <w:p w:rsidR="00F43A36" w:rsidRDefault="00061A8A">
      <w:pPr>
        <w:autoSpaceDE w:val="0"/>
        <w:autoSpaceDN w:val="0"/>
        <w:adjustRightInd w:val="0"/>
        <w:spacing w:line="560" w:lineRule="exact"/>
        <w:ind w:firstLineChars="200" w:firstLine="602"/>
        <w:jc w:val="left"/>
        <w:rPr>
          <w:rFonts w:ascii="方正仿宋_GBK" w:eastAsia="方正仿宋_GBK"/>
          <w:b/>
          <w:bCs/>
          <w:sz w:val="30"/>
          <w:szCs w:val="30"/>
        </w:rPr>
      </w:pPr>
      <w:r>
        <w:rPr>
          <w:rFonts w:ascii="方正仿宋_GBK" w:eastAsia="方正仿宋_GBK" w:hint="eastAsia"/>
          <w:b/>
          <w:bCs/>
          <w:sz w:val="30"/>
          <w:szCs w:val="30"/>
        </w:rPr>
        <w:lastRenderedPageBreak/>
        <w:t>共用行政管理服务</w:t>
      </w:r>
    </w:p>
    <w:p w:rsidR="00F43A36" w:rsidRDefault="00061A8A">
      <w:pPr>
        <w:autoSpaceDE w:val="0"/>
        <w:autoSpaceDN w:val="0"/>
        <w:adjustRightInd w:val="0"/>
        <w:spacing w:line="560" w:lineRule="exact"/>
        <w:ind w:firstLineChars="200" w:firstLine="600"/>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14A.98 </w:t>
      </w:r>
      <w:r>
        <w:rPr>
          <w:rFonts w:ascii="Times New Roman" w:eastAsia="方正仿宋_GBK" w:hAnsi="Times New Roman" w:cs="Times New Roman"/>
          <w:sz w:val="30"/>
          <w:szCs w:val="30"/>
        </w:rPr>
        <w:t>上市发行人集团与关连人士之间按成本基准共用行政管理服务，将可获得全面豁免，但条件是相关成本必须可予识别，并由各方按公平合理的基准分摊。</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注：共用行政管理服务的例子包括秘书服务、法律服务及员工培训服务。</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与被动投资者的联系人进行交易</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14A.99 </w:t>
      </w:r>
      <w:r>
        <w:rPr>
          <w:rFonts w:ascii="Times New Roman" w:eastAsia="方正仿宋_GBK" w:hAnsi="Times New Roman" w:cs="Times New Roman"/>
          <w:sz w:val="30"/>
          <w:szCs w:val="30"/>
        </w:rPr>
        <w:t>如符合以下条件，上市发行人集团与被动投资者的联系人之间进行的关连交易，将可获得全面豁免：</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(1) </w:t>
      </w:r>
      <w:r>
        <w:rPr>
          <w:rFonts w:ascii="Times New Roman" w:eastAsia="方正仿宋_GBK" w:hAnsi="Times New Roman" w:cs="Times New Roman"/>
          <w:sz w:val="30"/>
          <w:szCs w:val="30"/>
        </w:rPr>
        <w:t>该被动投资者是一名关连人士，纯粹是因为它是发行人及</w:t>
      </w:r>
      <w:r>
        <w:rPr>
          <w:rFonts w:ascii="宋体" w:eastAsia="宋体" w:hAnsi="宋体" w:cs="宋体" w:hint="eastAsia"/>
          <w:sz w:val="30"/>
          <w:szCs w:val="30"/>
        </w:rPr>
        <w:t>╱</w:t>
      </w:r>
      <w:r>
        <w:rPr>
          <w:rFonts w:ascii="Times New Roman" w:eastAsia="方正仿宋_GBK" w:hAnsi="Times New Roman" w:cs="Times New Roman"/>
          <w:sz w:val="30"/>
          <w:szCs w:val="30"/>
        </w:rPr>
        <w:t>或其任何附属公司的主要股东；</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(2) </w:t>
      </w:r>
      <w:r>
        <w:rPr>
          <w:rFonts w:ascii="Times New Roman" w:eastAsia="方正仿宋_GBK" w:hAnsi="Times New Roman" w:cs="Times New Roman"/>
          <w:sz w:val="30"/>
          <w:szCs w:val="30"/>
        </w:rPr>
        <w:t>该被动投资者</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(a) </w:t>
      </w:r>
      <w:r>
        <w:rPr>
          <w:rFonts w:ascii="Times New Roman" w:eastAsia="方正仿宋_GBK" w:hAnsi="Times New Roman" w:cs="Times New Roman"/>
          <w:sz w:val="30"/>
          <w:szCs w:val="30"/>
        </w:rPr>
        <w:t>并不是上市发行人或其附属公司的控股股东；</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(b) </w:t>
      </w:r>
      <w:r>
        <w:rPr>
          <w:rFonts w:ascii="Times New Roman" w:eastAsia="方正仿宋_GBK" w:hAnsi="Times New Roman" w:cs="Times New Roman"/>
          <w:sz w:val="30"/>
          <w:szCs w:val="30"/>
        </w:rPr>
        <w:t>没有委派代表加入上市发行人或其附属公司的董事会，亦无参与发行人集团的管理（包括透过对拥有上市发行人集团重大事宜的否定控制权（譬如否决权）而对上市发行人集团管理层有任何影响力）；</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(c) </w:t>
      </w:r>
      <w:r>
        <w:rPr>
          <w:rFonts w:ascii="Times New Roman" w:eastAsia="方正仿宋_GBK" w:hAnsi="Times New Roman" w:cs="Times New Roman"/>
          <w:sz w:val="30"/>
          <w:szCs w:val="30"/>
        </w:rPr>
        <w:t>是独立于上市发行人或其附属公司的董事、最高行政人员、控股股东及任何其他主要股东；及</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(3) </w:t>
      </w:r>
      <w:r>
        <w:rPr>
          <w:rFonts w:ascii="Times New Roman" w:eastAsia="方正仿宋_GBK" w:hAnsi="Times New Roman" w:cs="Times New Roman"/>
          <w:sz w:val="30"/>
          <w:szCs w:val="30"/>
        </w:rPr>
        <w:t>有关交易是上市发行人集团在日常业务中按一般商务条款或更佳条款进行的收益性质交易。</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14A.100 </w:t>
      </w:r>
      <w:r>
        <w:rPr>
          <w:rFonts w:ascii="Times New Roman" w:eastAsia="方正仿宋_GBK" w:hAnsi="Times New Roman" w:cs="Times New Roman"/>
          <w:sz w:val="30"/>
          <w:szCs w:val="30"/>
        </w:rPr>
        <w:t>「被动投资者」指符合下述条件之上市发行人及</w:t>
      </w:r>
      <w:r>
        <w:rPr>
          <w:rFonts w:ascii="宋体" w:eastAsia="宋体" w:hAnsi="宋体" w:cs="宋体" w:hint="eastAsia"/>
          <w:sz w:val="30"/>
          <w:szCs w:val="30"/>
        </w:rPr>
        <w:t>╱</w:t>
      </w:r>
      <w:r>
        <w:rPr>
          <w:rFonts w:ascii="Times New Roman" w:eastAsia="方正仿宋_GBK" w:hAnsi="Times New Roman" w:cs="Times New Roman"/>
          <w:sz w:val="30"/>
          <w:szCs w:val="30"/>
        </w:rPr>
        <w:t>或其任何附属公司的主要股东：</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(1) </w:t>
      </w:r>
      <w:r>
        <w:rPr>
          <w:rFonts w:ascii="Times New Roman" w:eastAsia="方正仿宋_GBK" w:hAnsi="Times New Roman" w:cs="Times New Roman"/>
          <w:sz w:val="30"/>
          <w:szCs w:val="30"/>
        </w:rPr>
        <w:t>该主要股东属主权基金，或证监会或合适的海外机构认</w:t>
      </w:r>
      <w:r>
        <w:rPr>
          <w:rFonts w:ascii="Times New Roman" w:eastAsia="方正仿宋_GBK" w:hAnsi="Times New Roman" w:cs="Times New Roman"/>
          <w:sz w:val="30"/>
          <w:szCs w:val="30"/>
        </w:rPr>
        <w:lastRenderedPageBreak/>
        <w:t>可的单位信托或互惠基金；及</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(2) </w:t>
      </w:r>
      <w:r>
        <w:rPr>
          <w:rFonts w:ascii="Times New Roman" w:eastAsia="方正仿宋_GBK" w:hAnsi="Times New Roman" w:cs="Times New Roman"/>
          <w:sz w:val="30"/>
          <w:szCs w:val="30"/>
        </w:rPr>
        <w:t>除持有上市发行人集团的证券及与上市发行人集团进行交易的联系人之证券外，该主要股东亦拥有其他多样化的投资。与附属公司层面的关连人士进行交易</w:t>
      </w:r>
      <w:r>
        <w:rPr>
          <w:rFonts w:ascii="Times New Roman" w:eastAsia="方正仿宋_GBK" w:hAnsi="Times New Roman" w:cs="Times New Roman" w:hint="eastAsia"/>
          <w:sz w:val="30"/>
          <w:szCs w:val="30"/>
        </w:rPr>
        <w:t>。</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14A.101 </w:t>
      </w:r>
      <w:r>
        <w:rPr>
          <w:rFonts w:ascii="Times New Roman" w:eastAsia="方正仿宋_GBK" w:hAnsi="Times New Roman" w:cs="Times New Roman"/>
          <w:sz w:val="30"/>
          <w:szCs w:val="30"/>
        </w:rPr>
        <w:t>上市发行人集团与附属公司层面的关连人士之间按一般商务条款或更佳条款进行的关连交易，若符合以下情况，可获得豁免遵守通函、独立财务意见及股东批准的规定：</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(1) </w:t>
      </w:r>
      <w:r>
        <w:rPr>
          <w:rFonts w:ascii="Times New Roman" w:eastAsia="方正仿宋_GBK" w:hAnsi="Times New Roman" w:cs="Times New Roman"/>
          <w:sz w:val="30"/>
          <w:szCs w:val="30"/>
        </w:rPr>
        <w:t>上市发行人董事会已批准交易；及</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(2) </w:t>
      </w:r>
      <w:r>
        <w:rPr>
          <w:rFonts w:ascii="Times New Roman" w:eastAsia="方正仿宋_GBK" w:hAnsi="Times New Roman" w:cs="Times New Roman"/>
          <w:sz w:val="30"/>
          <w:szCs w:val="30"/>
        </w:rPr>
        <w:t>独立非执行董事已确认交易条款公平合理、交易按一般商业条款或更佳条款进行，及符合上市发行人及整体股东利益。</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注：当合资格发行人与合资格关连人士成立合营公司进行合资格地产收购，合资格发行人须在接获合营公司竞投成功的通知后尽快公布有关交易。</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若合资格发行人于刊发首份公告时，尚未能提供任何有关收购或合营公司所须披露的任何详情，其必须在有关事项协议或落实后，尽快再刊发公告披露该等详情。</w:t>
      </w:r>
    </w:p>
    <w:p w:rsidR="00F43A36" w:rsidRDefault="00061A8A">
      <w:pPr>
        <w:autoSpaceDE w:val="0"/>
        <w:autoSpaceDN w:val="0"/>
        <w:adjustRightInd w:val="0"/>
        <w:spacing w:line="560" w:lineRule="exact"/>
        <w:ind w:firstLineChars="200" w:firstLine="600"/>
        <w:jc w:val="left"/>
        <w:rPr>
          <w:rFonts w:ascii="黑体" w:eastAsia="黑体" w:hAnsi="黑体"/>
          <w:bCs/>
          <w:sz w:val="30"/>
          <w:szCs w:val="30"/>
        </w:rPr>
      </w:pPr>
      <w:r>
        <w:rPr>
          <w:rFonts w:ascii="黑体" w:eastAsia="黑体" w:hAnsi="黑体" w:hint="eastAsia"/>
          <w:bCs/>
          <w:sz w:val="30"/>
          <w:szCs w:val="30"/>
        </w:rPr>
        <w:t>六、《企业会计准则第36号—关联方披露》定义的关联交易如下：</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第七条</w:t>
      </w:r>
      <w:r>
        <w:rPr>
          <w:rFonts w:ascii="Times New Roman" w:eastAsia="方正仿宋_GBK" w:hAnsi="Times New Roman" w:cs="Times New Roman"/>
          <w:sz w:val="30"/>
          <w:szCs w:val="30"/>
        </w:rPr>
        <w:t xml:space="preserve"> </w:t>
      </w:r>
      <w:r>
        <w:rPr>
          <w:rFonts w:ascii="Times New Roman" w:eastAsia="方正仿宋_GBK" w:hAnsi="Times New Roman" w:cs="Times New Roman"/>
          <w:sz w:val="30"/>
          <w:szCs w:val="30"/>
        </w:rPr>
        <w:t>关联方交易，是指关联方之间转移资源、劳务或义务的行为，而不论是否收取价款。</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第八条</w:t>
      </w:r>
      <w:r>
        <w:rPr>
          <w:rFonts w:ascii="Times New Roman" w:eastAsia="方正仿宋_GBK" w:hAnsi="Times New Roman" w:cs="Times New Roman" w:hint="eastAsia"/>
          <w:sz w:val="30"/>
          <w:szCs w:val="30"/>
        </w:rPr>
        <w:t xml:space="preserve"> </w:t>
      </w:r>
      <w:r>
        <w:rPr>
          <w:rFonts w:ascii="Times New Roman" w:eastAsia="方正仿宋_GBK" w:hAnsi="Times New Roman" w:cs="Times New Roman"/>
          <w:sz w:val="30"/>
          <w:szCs w:val="30"/>
        </w:rPr>
        <w:t>关联方交易的类型通常包括下列各项：</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w:t>
      </w:r>
      <w:r>
        <w:rPr>
          <w:rFonts w:ascii="Times New Roman" w:eastAsia="方正仿宋_GBK" w:hAnsi="Times New Roman" w:cs="Times New Roman"/>
          <w:sz w:val="30"/>
          <w:szCs w:val="30"/>
        </w:rPr>
        <w:t>一</w:t>
      </w:r>
      <w:r>
        <w:rPr>
          <w:rFonts w:ascii="Times New Roman" w:eastAsia="方正仿宋_GBK" w:hAnsi="Times New Roman" w:cs="Times New Roman"/>
          <w:sz w:val="30"/>
          <w:szCs w:val="30"/>
        </w:rPr>
        <w:t xml:space="preserve">) </w:t>
      </w:r>
      <w:r>
        <w:rPr>
          <w:rFonts w:ascii="Times New Roman" w:eastAsia="方正仿宋_GBK" w:hAnsi="Times New Roman" w:cs="Times New Roman"/>
          <w:sz w:val="30"/>
          <w:szCs w:val="30"/>
        </w:rPr>
        <w:t>购买或销售商品。</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w:t>
      </w:r>
      <w:r>
        <w:rPr>
          <w:rFonts w:ascii="Times New Roman" w:eastAsia="方正仿宋_GBK" w:hAnsi="Times New Roman" w:cs="Times New Roman"/>
          <w:sz w:val="30"/>
          <w:szCs w:val="30"/>
        </w:rPr>
        <w:t>二</w:t>
      </w:r>
      <w:r>
        <w:rPr>
          <w:rFonts w:ascii="Times New Roman" w:eastAsia="方正仿宋_GBK" w:hAnsi="Times New Roman" w:cs="Times New Roman"/>
          <w:sz w:val="30"/>
          <w:szCs w:val="30"/>
        </w:rPr>
        <w:t xml:space="preserve">) </w:t>
      </w:r>
      <w:r>
        <w:rPr>
          <w:rFonts w:ascii="Times New Roman" w:eastAsia="方正仿宋_GBK" w:hAnsi="Times New Roman" w:cs="Times New Roman"/>
          <w:sz w:val="30"/>
          <w:szCs w:val="30"/>
        </w:rPr>
        <w:t>购买或销售商品以外的其他资产。</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w:t>
      </w:r>
      <w:r>
        <w:rPr>
          <w:rFonts w:ascii="Times New Roman" w:eastAsia="方正仿宋_GBK" w:hAnsi="Times New Roman" w:cs="Times New Roman"/>
          <w:sz w:val="30"/>
          <w:szCs w:val="30"/>
        </w:rPr>
        <w:t>三</w:t>
      </w:r>
      <w:r>
        <w:rPr>
          <w:rFonts w:ascii="Times New Roman" w:eastAsia="方正仿宋_GBK" w:hAnsi="Times New Roman" w:cs="Times New Roman"/>
          <w:sz w:val="30"/>
          <w:szCs w:val="30"/>
        </w:rPr>
        <w:t xml:space="preserve">) </w:t>
      </w:r>
      <w:r>
        <w:rPr>
          <w:rFonts w:ascii="Times New Roman" w:eastAsia="方正仿宋_GBK" w:hAnsi="Times New Roman" w:cs="Times New Roman"/>
          <w:sz w:val="30"/>
          <w:szCs w:val="30"/>
        </w:rPr>
        <w:t>提供或接受劳务。</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lastRenderedPageBreak/>
        <w:t>(</w:t>
      </w:r>
      <w:r>
        <w:rPr>
          <w:rFonts w:ascii="Times New Roman" w:eastAsia="方正仿宋_GBK" w:hAnsi="Times New Roman" w:cs="Times New Roman"/>
          <w:sz w:val="30"/>
          <w:szCs w:val="30"/>
        </w:rPr>
        <w:t>四</w:t>
      </w:r>
      <w:r>
        <w:rPr>
          <w:rFonts w:ascii="Times New Roman" w:eastAsia="方正仿宋_GBK" w:hAnsi="Times New Roman" w:cs="Times New Roman"/>
          <w:sz w:val="30"/>
          <w:szCs w:val="30"/>
        </w:rPr>
        <w:t xml:space="preserve">) </w:t>
      </w:r>
      <w:r>
        <w:rPr>
          <w:rFonts w:ascii="Times New Roman" w:eastAsia="方正仿宋_GBK" w:hAnsi="Times New Roman" w:cs="Times New Roman"/>
          <w:sz w:val="30"/>
          <w:szCs w:val="30"/>
        </w:rPr>
        <w:t>担保。</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w:t>
      </w:r>
      <w:r>
        <w:rPr>
          <w:rFonts w:ascii="Times New Roman" w:eastAsia="方正仿宋_GBK" w:hAnsi="Times New Roman" w:cs="Times New Roman"/>
          <w:sz w:val="30"/>
          <w:szCs w:val="30"/>
        </w:rPr>
        <w:t>五</w:t>
      </w:r>
      <w:r>
        <w:rPr>
          <w:rFonts w:ascii="Times New Roman" w:eastAsia="方正仿宋_GBK" w:hAnsi="Times New Roman" w:cs="Times New Roman"/>
          <w:sz w:val="30"/>
          <w:szCs w:val="30"/>
        </w:rPr>
        <w:t xml:space="preserve">) </w:t>
      </w:r>
      <w:r>
        <w:rPr>
          <w:rFonts w:ascii="Times New Roman" w:eastAsia="方正仿宋_GBK" w:hAnsi="Times New Roman" w:cs="Times New Roman"/>
          <w:sz w:val="30"/>
          <w:szCs w:val="30"/>
        </w:rPr>
        <w:t>提供资金</w:t>
      </w:r>
      <w:r>
        <w:rPr>
          <w:rFonts w:ascii="Times New Roman" w:eastAsia="方正仿宋_GBK" w:hAnsi="Times New Roman" w:cs="Times New Roman"/>
          <w:sz w:val="30"/>
          <w:szCs w:val="30"/>
        </w:rPr>
        <w:t>(</w:t>
      </w:r>
      <w:r>
        <w:rPr>
          <w:rFonts w:ascii="Times New Roman" w:eastAsia="方正仿宋_GBK" w:hAnsi="Times New Roman" w:cs="Times New Roman"/>
          <w:sz w:val="30"/>
          <w:szCs w:val="30"/>
        </w:rPr>
        <w:t>贷款或股权投资</w:t>
      </w:r>
      <w:r>
        <w:rPr>
          <w:rFonts w:ascii="Times New Roman" w:eastAsia="方正仿宋_GBK" w:hAnsi="Times New Roman" w:cs="Times New Roman"/>
          <w:sz w:val="30"/>
          <w:szCs w:val="30"/>
        </w:rPr>
        <w:t>)</w:t>
      </w:r>
      <w:r>
        <w:rPr>
          <w:rFonts w:ascii="Times New Roman" w:eastAsia="方正仿宋_GBK" w:hAnsi="Times New Roman" w:cs="Times New Roman"/>
          <w:sz w:val="30"/>
          <w:szCs w:val="30"/>
        </w:rPr>
        <w:t>。</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w:t>
      </w:r>
      <w:r>
        <w:rPr>
          <w:rFonts w:ascii="Times New Roman" w:eastAsia="方正仿宋_GBK" w:hAnsi="Times New Roman" w:cs="Times New Roman"/>
          <w:sz w:val="30"/>
          <w:szCs w:val="30"/>
        </w:rPr>
        <w:t>六</w:t>
      </w:r>
      <w:r>
        <w:rPr>
          <w:rFonts w:ascii="Times New Roman" w:eastAsia="方正仿宋_GBK" w:hAnsi="Times New Roman" w:cs="Times New Roman"/>
          <w:sz w:val="30"/>
          <w:szCs w:val="30"/>
        </w:rPr>
        <w:t xml:space="preserve">) </w:t>
      </w:r>
      <w:r>
        <w:rPr>
          <w:rFonts w:ascii="Times New Roman" w:eastAsia="方正仿宋_GBK" w:hAnsi="Times New Roman" w:cs="Times New Roman"/>
          <w:sz w:val="30"/>
          <w:szCs w:val="30"/>
        </w:rPr>
        <w:t>租赁。</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w:t>
      </w:r>
      <w:r>
        <w:rPr>
          <w:rFonts w:ascii="Times New Roman" w:eastAsia="方正仿宋_GBK" w:hAnsi="Times New Roman" w:cs="Times New Roman"/>
          <w:sz w:val="30"/>
          <w:szCs w:val="30"/>
        </w:rPr>
        <w:t>七</w:t>
      </w:r>
      <w:r>
        <w:rPr>
          <w:rFonts w:ascii="Times New Roman" w:eastAsia="方正仿宋_GBK" w:hAnsi="Times New Roman" w:cs="Times New Roman"/>
          <w:sz w:val="30"/>
          <w:szCs w:val="30"/>
        </w:rPr>
        <w:t xml:space="preserve">) </w:t>
      </w:r>
      <w:r>
        <w:rPr>
          <w:rFonts w:ascii="Times New Roman" w:eastAsia="方正仿宋_GBK" w:hAnsi="Times New Roman" w:cs="Times New Roman"/>
          <w:sz w:val="30"/>
          <w:szCs w:val="30"/>
        </w:rPr>
        <w:t>代理。</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w:t>
      </w:r>
      <w:r>
        <w:rPr>
          <w:rFonts w:ascii="Times New Roman" w:eastAsia="方正仿宋_GBK" w:hAnsi="Times New Roman" w:cs="Times New Roman"/>
          <w:sz w:val="30"/>
          <w:szCs w:val="30"/>
        </w:rPr>
        <w:t>八</w:t>
      </w:r>
      <w:r>
        <w:rPr>
          <w:rFonts w:ascii="Times New Roman" w:eastAsia="方正仿宋_GBK" w:hAnsi="Times New Roman" w:cs="Times New Roman"/>
          <w:sz w:val="30"/>
          <w:szCs w:val="30"/>
        </w:rPr>
        <w:t xml:space="preserve">) </w:t>
      </w:r>
      <w:r>
        <w:rPr>
          <w:rFonts w:ascii="Times New Roman" w:eastAsia="方正仿宋_GBK" w:hAnsi="Times New Roman" w:cs="Times New Roman"/>
          <w:sz w:val="30"/>
          <w:szCs w:val="30"/>
        </w:rPr>
        <w:t>研究与开发项目的转移。</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w:t>
      </w:r>
      <w:r>
        <w:rPr>
          <w:rFonts w:ascii="Times New Roman" w:eastAsia="方正仿宋_GBK" w:hAnsi="Times New Roman" w:cs="Times New Roman"/>
          <w:sz w:val="30"/>
          <w:szCs w:val="30"/>
        </w:rPr>
        <w:t>九</w:t>
      </w:r>
      <w:r>
        <w:rPr>
          <w:rFonts w:ascii="Times New Roman" w:eastAsia="方正仿宋_GBK" w:hAnsi="Times New Roman" w:cs="Times New Roman"/>
          <w:sz w:val="30"/>
          <w:szCs w:val="30"/>
        </w:rPr>
        <w:t xml:space="preserve">) </w:t>
      </w:r>
      <w:r>
        <w:rPr>
          <w:rFonts w:ascii="Times New Roman" w:eastAsia="方正仿宋_GBK" w:hAnsi="Times New Roman" w:cs="Times New Roman"/>
          <w:sz w:val="30"/>
          <w:szCs w:val="30"/>
        </w:rPr>
        <w:t>许可协议。</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w:t>
      </w:r>
      <w:r>
        <w:rPr>
          <w:rFonts w:ascii="Times New Roman" w:eastAsia="方正仿宋_GBK" w:hAnsi="Times New Roman" w:cs="Times New Roman"/>
          <w:sz w:val="30"/>
          <w:szCs w:val="30"/>
        </w:rPr>
        <w:t>十</w:t>
      </w:r>
      <w:r>
        <w:rPr>
          <w:rFonts w:ascii="Times New Roman" w:eastAsia="方正仿宋_GBK" w:hAnsi="Times New Roman" w:cs="Times New Roman"/>
          <w:sz w:val="30"/>
          <w:szCs w:val="30"/>
        </w:rPr>
        <w:t xml:space="preserve">) </w:t>
      </w:r>
      <w:r>
        <w:rPr>
          <w:rFonts w:ascii="Times New Roman" w:eastAsia="方正仿宋_GBK" w:hAnsi="Times New Roman" w:cs="Times New Roman"/>
          <w:sz w:val="30"/>
          <w:szCs w:val="30"/>
        </w:rPr>
        <w:t>代表企业或由企业代表另一方进行债务结算。</w:t>
      </w:r>
    </w:p>
    <w:p w:rsidR="00F43A36" w:rsidRDefault="00061A8A">
      <w:pPr>
        <w:autoSpaceDE w:val="0"/>
        <w:autoSpaceDN w:val="0"/>
        <w:adjustRightInd w:val="0"/>
        <w:spacing w:line="560"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sz w:val="30"/>
          <w:szCs w:val="30"/>
        </w:rPr>
        <w:t>(</w:t>
      </w:r>
      <w:r>
        <w:rPr>
          <w:rFonts w:ascii="Times New Roman" w:eastAsia="方正仿宋_GBK" w:hAnsi="Times New Roman" w:cs="Times New Roman"/>
          <w:sz w:val="30"/>
          <w:szCs w:val="30"/>
        </w:rPr>
        <w:t>十一</w:t>
      </w:r>
      <w:r>
        <w:rPr>
          <w:rFonts w:ascii="Times New Roman" w:eastAsia="方正仿宋_GBK" w:hAnsi="Times New Roman" w:cs="Times New Roman"/>
          <w:sz w:val="30"/>
          <w:szCs w:val="30"/>
        </w:rPr>
        <w:t xml:space="preserve">) </w:t>
      </w:r>
      <w:r>
        <w:rPr>
          <w:rFonts w:ascii="Times New Roman" w:eastAsia="方正仿宋_GBK" w:hAnsi="Times New Roman" w:cs="Times New Roman"/>
          <w:sz w:val="30"/>
          <w:szCs w:val="30"/>
        </w:rPr>
        <w:t>关键管理人员薪酬。</w:t>
      </w:r>
    </w:p>
    <w:p w:rsidR="00F43A36" w:rsidRDefault="00061A8A">
      <w:pPr>
        <w:autoSpaceDE w:val="0"/>
        <w:autoSpaceDN w:val="0"/>
        <w:adjustRightInd w:val="0"/>
        <w:spacing w:line="560" w:lineRule="exact"/>
        <w:ind w:firstLineChars="200" w:firstLine="600"/>
        <w:jc w:val="left"/>
        <w:rPr>
          <w:rFonts w:ascii="黑体" w:eastAsia="黑体" w:hAnsi="黑体"/>
          <w:bCs/>
          <w:sz w:val="30"/>
          <w:szCs w:val="30"/>
        </w:rPr>
      </w:pPr>
      <w:r>
        <w:rPr>
          <w:rFonts w:ascii="黑体" w:eastAsia="黑体" w:hAnsi="黑体" w:hint="eastAsia"/>
          <w:bCs/>
          <w:sz w:val="30"/>
          <w:szCs w:val="30"/>
        </w:rPr>
        <w:t>七、《国际会计准则第24 号—关联方披露》定义的关联交易如下：</w:t>
      </w:r>
    </w:p>
    <w:p w:rsidR="00F43A36" w:rsidRDefault="00061A8A">
      <w:pPr>
        <w:autoSpaceDE w:val="0"/>
        <w:autoSpaceDN w:val="0"/>
        <w:adjustRightInd w:val="0"/>
        <w:spacing w:line="560" w:lineRule="exact"/>
        <w:ind w:firstLineChars="200" w:firstLine="600"/>
        <w:jc w:val="left"/>
        <w:rPr>
          <w:rFonts w:ascii="方正仿宋_GBK" w:eastAsia="方正仿宋_GBK"/>
          <w:sz w:val="30"/>
          <w:szCs w:val="30"/>
        </w:rPr>
      </w:pPr>
      <w:r>
        <w:rPr>
          <w:rFonts w:ascii="方正仿宋_GBK" w:eastAsia="方正仿宋_GBK" w:hint="eastAsia"/>
          <w:sz w:val="30"/>
          <w:szCs w:val="30"/>
        </w:rPr>
        <w:t>关联方交易，指关联方之间相互转移资源、服务或义务，不论是否收取价款。</w:t>
      </w:r>
    </w:p>
    <w:p w:rsidR="00F43A36" w:rsidRDefault="00F43A36"/>
    <w:p w:rsidR="00F43A36" w:rsidRDefault="00F43A36"/>
    <w:p w:rsidR="00F43A36" w:rsidRDefault="00F43A36"/>
    <w:p w:rsidR="00F43A36" w:rsidRDefault="00F43A36"/>
    <w:p w:rsidR="00F43A36" w:rsidRDefault="00F43A36"/>
    <w:p w:rsidR="00F43A36" w:rsidRDefault="00F43A36"/>
    <w:p w:rsidR="00F43A36" w:rsidRDefault="00F43A36"/>
    <w:p w:rsidR="00F43A36" w:rsidRDefault="00F43A36"/>
    <w:p w:rsidR="00F43A36" w:rsidRDefault="00F43A36"/>
    <w:p w:rsidR="00F43A36" w:rsidRDefault="00F43A36"/>
    <w:p w:rsidR="00F43A36" w:rsidRDefault="00F43A36"/>
    <w:p w:rsidR="00F43A36" w:rsidRDefault="00F43A36"/>
    <w:p w:rsidR="00F43A36" w:rsidRDefault="00F43A36"/>
    <w:p w:rsidR="00F43A36" w:rsidRDefault="00F43A36"/>
    <w:p w:rsidR="00F43A36" w:rsidRDefault="00F43A36"/>
    <w:p w:rsidR="00F43A36" w:rsidRDefault="00F43A36"/>
    <w:p w:rsidR="00F43A36" w:rsidRDefault="00F43A36"/>
    <w:p w:rsidR="00F43A36" w:rsidRDefault="00F43A36"/>
    <w:p w:rsidR="00F43A36" w:rsidRDefault="00F43A36"/>
    <w:p w:rsidR="00F43A36" w:rsidRDefault="00F43A36"/>
    <w:p w:rsidR="00F43A36" w:rsidRDefault="00F43A36"/>
    <w:p w:rsidR="00F43A36" w:rsidRDefault="00F43A36"/>
    <w:p w:rsidR="00F43A36" w:rsidRDefault="00F43A36">
      <w:pPr>
        <w:sectPr w:rsidR="00F43A36">
          <w:pgSz w:w="11906" w:h="16838"/>
          <w:pgMar w:top="1440" w:right="1800" w:bottom="1440" w:left="1800" w:header="851" w:footer="992" w:gutter="0"/>
          <w:cols w:space="425"/>
          <w:docGrid w:type="lines" w:linePitch="312"/>
        </w:sectPr>
      </w:pPr>
    </w:p>
    <w:tbl>
      <w:tblPr>
        <w:tblW w:w="13370" w:type="dxa"/>
        <w:tblLayout w:type="fixed"/>
        <w:tblCellMar>
          <w:top w:w="15" w:type="dxa"/>
          <w:left w:w="15" w:type="dxa"/>
          <w:bottom w:w="15" w:type="dxa"/>
          <w:right w:w="15" w:type="dxa"/>
        </w:tblCellMar>
        <w:tblLook w:val="04A0" w:firstRow="1" w:lastRow="0" w:firstColumn="1" w:lastColumn="0" w:noHBand="0" w:noVBand="1"/>
      </w:tblPr>
      <w:tblGrid>
        <w:gridCol w:w="2115"/>
        <w:gridCol w:w="1080"/>
        <w:gridCol w:w="1620"/>
        <w:gridCol w:w="1455"/>
        <w:gridCol w:w="2235"/>
        <w:gridCol w:w="1075"/>
        <w:gridCol w:w="1075"/>
        <w:gridCol w:w="1088"/>
        <w:gridCol w:w="1627"/>
      </w:tblGrid>
      <w:tr w:rsidR="00F43A36">
        <w:trPr>
          <w:trHeight w:val="286"/>
        </w:trPr>
        <w:tc>
          <w:tcPr>
            <w:tcW w:w="2115" w:type="dxa"/>
            <w:shd w:val="clear" w:color="auto" w:fill="auto"/>
            <w:vAlign w:val="center"/>
          </w:tcPr>
          <w:p w:rsidR="00F43A36" w:rsidRDefault="00061A8A">
            <w:pPr>
              <w:widowControl/>
              <w:jc w:val="left"/>
              <w:textAlignment w:val="center"/>
              <w:rPr>
                <w:rFonts w:ascii="等线" w:eastAsia="等线" w:hAnsi="等线" w:cs="等线"/>
                <w:color w:val="000000"/>
                <w:sz w:val="22"/>
              </w:rPr>
            </w:pPr>
            <w:r>
              <w:rPr>
                <w:rFonts w:ascii="等线" w:eastAsia="等线" w:hAnsi="等线" w:cs="等线" w:hint="eastAsia"/>
                <w:color w:val="000000"/>
                <w:kern w:val="0"/>
                <w:sz w:val="22"/>
                <w:lang w:bidi="ar"/>
              </w:rPr>
              <w:lastRenderedPageBreak/>
              <w:t>附件5</w:t>
            </w:r>
          </w:p>
        </w:tc>
        <w:tc>
          <w:tcPr>
            <w:tcW w:w="1080" w:type="dxa"/>
            <w:shd w:val="clear" w:color="auto" w:fill="auto"/>
            <w:vAlign w:val="center"/>
          </w:tcPr>
          <w:p w:rsidR="00F43A36" w:rsidRDefault="00F43A36">
            <w:pPr>
              <w:rPr>
                <w:rFonts w:ascii="等线" w:eastAsia="等线" w:hAnsi="等线" w:cs="等线"/>
                <w:color w:val="000000"/>
                <w:sz w:val="22"/>
              </w:rPr>
            </w:pPr>
          </w:p>
        </w:tc>
        <w:tc>
          <w:tcPr>
            <w:tcW w:w="1620" w:type="dxa"/>
            <w:shd w:val="clear" w:color="auto" w:fill="auto"/>
            <w:vAlign w:val="center"/>
          </w:tcPr>
          <w:p w:rsidR="00F43A36" w:rsidRDefault="00F43A36">
            <w:pPr>
              <w:rPr>
                <w:rFonts w:ascii="等线" w:eastAsia="等线" w:hAnsi="等线" w:cs="等线"/>
                <w:color w:val="000000"/>
                <w:sz w:val="22"/>
              </w:rPr>
            </w:pPr>
          </w:p>
        </w:tc>
        <w:tc>
          <w:tcPr>
            <w:tcW w:w="1455" w:type="dxa"/>
            <w:shd w:val="clear" w:color="auto" w:fill="auto"/>
            <w:vAlign w:val="center"/>
          </w:tcPr>
          <w:p w:rsidR="00F43A36" w:rsidRDefault="00F43A36">
            <w:pPr>
              <w:rPr>
                <w:rFonts w:ascii="等线" w:eastAsia="等线" w:hAnsi="等线" w:cs="等线"/>
                <w:color w:val="000000"/>
                <w:sz w:val="22"/>
              </w:rPr>
            </w:pPr>
          </w:p>
        </w:tc>
        <w:tc>
          <w:tcPr>
            <w:tcW w:w="2235" w:type="dxa"/>
            <w:shd w:val="clear" w:color="auto" w:fill="auto"/>
            <w:vAlign w:val="center"/>
          </w:tcPr>
          <w:p w:rsidR="00F43A36" w:rsidRDefault="00F43A36">
            <w:pPr>
              <w:rPr>
                <w:rFonts w:ascii="等线" w:eastAsia="等线" w:hAnsi="等线" w:cs="等线"/>
                <w:color w:val="000000"/>
                <w:sz w:val="22"/>
              </w:rPr>
            </w:pPr>
          </w:p>
        </w:tc>
        <w:tc>
          <w:tcPr>
            <w:tcW w:w="1075" w:type="dxa"/>
            <w:shd w:val="clear" w:color="auto" w:fill="auto"/>
            <w:vAlign w:val="center"/>
          </w:tcPr>
          <w:p w:rsidR="00F43A36" w:rsidRDefault="00F43A36">
            <w:pPr>
              <w:rPr>
                <w:rFonts w:ascii="等线" w:eastAsia="等线" w:hAnsi="等线" w:cs="等线"/>
                <w:color w:val="000000"/>
                <w:sz w:val="22"/>
              </w:rPr>
            </w:pPr>
          </w:p>
        </w:tc>
        <w:tc>
          <w:tcPr>
            <w:tcW w:w="1075" w:type="dxa"/>
            <w:shd w:val="clear" w:color="auto" w:fill="auto"/>
            <w:vAlign w:val="center"/>
          </w:tcPr>
          <w:p w:rsidR="00F43A36" w:rsidRDefault="00F43A36">
            <w:pPr>
              <w:rPr>
                <w:rFonts w:ascii="等线" w:eastAsia="等线" w:hAnsi="等线" w:cs="等线"/>
                <w:color w:val="000000"/>
                <w:sz w:val="22"/>
              </w:rPr>
            </w:pPr>
          </w:p>
        </w:tc>
        <w:tc>
          <w:tcPr>
            <w:tcW w:w="2715" w:type="dxa"/>
            <w:gridSpan w:val="2"/>
            <w:shd w:val="clear" w:color="auto" w:fill="auto"/>
            <w:vAlign w:val="center"/>
          </w:tcPr>
          <w:p w:rsidR="00F43A36" w:rsidRDefault="00F43A36">
            <w:pPr>
              <w:rPr>
                <w:rFonts w:ascii="等线" w:eastAsia="等线" w:hAnsi="等线" w:cs="等线"/>
                <w:color w:val="000000"/>
                <w:sz w:val="22"/>
              </w:rPr>
            </w:pPr>
          </w:p>
        </w:tc>
      </w:tr>
      <w:tr w:rsidR="00F43A36">
        <w:trPr>
          <w:trHeight w:val="645"/>
        </w:trPr>
        <w:tc>
          <w:tcPr>
            <w:tcW w:w="13370" w:type="dxa"/>
            <w:gridSpan w:val="9"/>
            <w:shd w:val="clear" w:color="auto" w:fill="auto"/>
            <w:vAlign w:val="center"/>
          </w:tcPr>
          <w:p w:rsidR="00F43A36" w:rsidRDefault="00061A8A">
            <w:pPr>
              <w:widowControl/>
              <w:jc w:val="center"/>
              <w:textAlignment w:val="center"/>
              <w:rPr>
                <w:rFonts w:ascii="黑体" w:eastAsia="黑体" w:hAnsi="宋体" w:cs="黑体"/>
                <w:color w:val="000000"/>
                <w:sz w:val="36"/>
                <w:szCs w:val="36"/>
              </w:rPr>
            </w:pPr>
            <w:r>
              <w:rPr>
                <w:rFonts w:ascii="黑体" w:eastAsia="黑体" w:hAnsi="宋体" w:cs="黑体" w:hint="eastAsia"/>
                <w:color w:val="000000"/>
                <w:kern w:val="0"/>
                <w:sz w:val="36"/>
                <w:szCs w:val="36"/>
                <w:lang w:bidi="ar"/>
              </w:rPr>
              <w:t>关联方出账报备表</w:t>
            </w:r>
          </w:p>
        </w:tc>
      </w:tr>
      <w:tr w:rsidR="00F43A36">
        <w:trPr>
          <w:trHeight w:val="471"/>
        </w:trPr>
        <w:tc>
          <w:tcPr>
            <w:tcW w:w="2115" w:type="dxa"/>
            <w:shd w:val="clear" w:color="auto" w:fill="auto"/>
            <w:vAlign w:val="center"/>
          </w:tcPr>
          <w:p w:rsidR="00F43A36" w:rsidRDefault="00F43A36">
            <w:pPr>
              <w:jc w:val="center"/>
              <w:rPr>
                <w:rFonts w:ascii="等线" w:eastAsia="等线" w:hAnsi="等线" w:cs="等线"/>
                <w:color w:val="000000"/>
                <w:sz w:val="30"/>
                <w:szCs w:val="30"/>
              </w:rPr>
            </w:pPr>
          </w:p>
        </w:tc>
        <w:tc>
          <w:tcPr>
            <w:tcW w:w="1080" w:type="dxa"/>
            <w:shd w:val="clear" w:color="auto" w:fill="auto"/>
            <w:vAlign w:val="center"/>
          </w:tcPr>
          <w:p w:rsidR="00F43A36" w:rsidRDefault="00F43A36">
            <w:pPr>
              <w:jc w:val="center"/>
              <w:rPr>
                <w:rFonts w:ascii="等线" w:eastAsia="等线" w:hAnsi="等线" w:cs="等线"/>
                <w:color w:val="000000"/>
                <w:sz w:val="30"/>
                <w:szCs w:val="30"/>
              </w:rPr>
            </w:pPr>
          </w:p>
        </w:tc>
        <w:tc>
          <w:tcPr>
            <w:tcW w:w="1620" w:type="dxa"/>
            <w:shd w:val="clear" w:color="auto" w:fill="auto"/>
            <w:vAlign w:val="center"/>
          </w:tcPr>
          <w:p w:rsidR="00F43A36" w:rsidRDefault="00F43A36">
            <w:pPr>
              <w:jc w:val="center"/>
              <w:rPr>
                <w:rFonts w:ascii="等线" w:eastAsia="等线" w:hAnsi="等线" w:cs="等线"/>
                <w:color w:val="000000"/>
                <w:sz w:val="30"/>
                <w:szCs w:val="30"/>
              </w:rPr>
            </w:pPr>
          </w:p>
        </w:tc>
        <w:tc>
          <w:tcPr>
            <w:tcW w:w="1455" w:type="dxa"/>
            <w:shd w:val="clear" w:color="auto" w:fill="auto"/>
            <w:vAlign w:val="center"/>
          </w:tcPr>
          <w:p w:rsidR="00F43A36" w:rsidRDefault="00F43A36">
            <w:pPr>
              <w:jc w:val="center"/>
              <w:rPr>
                <w:rFonts w:ascii="等线" w:eastAsia="等线" w:hAnsi="等线" w:cs="等线"/>
                <w:color w:val="000000"/>
                <w:sz w:val="30"/>
                <w:szCs w:val="30"/>
              </w:rPr>
            </w:pPr>
          </w:p>
        </w:tc>
        <w:tc>
          <w:tcPr>
            <w:tcW w:w="2235" w:type="dxa"/>
            <w:shd w:val="clear" w:color="auto" w:fill="auto"/>
            <w:vAlign w:val="center"/>
          </w:tcPr>
          <w:p w:rsidR="00F43A36" w:rsidRDefault="00061A8A">
            <w:pPr>
              <w:widowControl/>
              <w:jc w:val="center"/>
              <w:textAlignment w:val="center"/>
              <w:rPr>
                <w:rFonts w:ascii="等线" w:eastAsia="等线" w:hAnsi="等线" w:cs="等线"/>
                <w:color w:val="000000"/>
                <w:sz w:val="30"/>
                <w:szCs w:val="30"/>
              </w:rPr>
            </w:pPr>
            <w:r>
              <w:rPr>
                <w:rFonts w:ascii="等线" w:eastAsia="等线" w:hAnsi="等线" w:cs="等线" w:hint="eastAsia"/>
                <w:color w:val="000000"/>
                <w:kern w:val="0"/>
                <w:sz w:val="30"/>
                <w:szCs w:val="30"/>
                <w:lang w:bidi="ar"/>
              </w:rPr>
              <w:t xml:space="preserve">  </w:t>
            </w:r>
          </w:p>
        </w:tc>
        <w:tc>
          <w:tcPr>
            <w:tcW w:w="4865" w:type="dxa"/>
            <w:gridSpan w:val="4"/>
            <w:tcBorders>
              <w:bottom w:val="single" w:sz="4" w:space="0" w:color="000000"/>
            </w:tcBorders>
            <w:shd w:val="clear" w:color="auto" w:fill="auto"/>
            <w:vAlign w:val="center"/>
          </w:tcPr>
          <w:p w:rsidR="00F43A36" w:rsidRDefault="00061A8A">
            <w:pPr>
              <w:widowControl/>
              <w:jc w:val="right"/>
              <w:textAlignment w:val="center"/>
              <w:rPr>
                <w:rFonts w:ascii="等线" w:eastAsia="等线" w:hAnsi="等线" w:cs="等线"/>
                <w:color w:val="000000"/>
                <w:sz w:val="24"/>
                <w:szCs w:val="24"/>
              </w:rPr>
            </w:pPr>
            <w:r>
              <w:rPr>
                <w:rFonts w:ascii="等线" w:eastAsia="等线" w:hAnsi="等线" w:cs="等线" w:hint="eastAsia"/>
                <w:color w:val="000000"/>
                <w:kern w:val="0"/>
                <w:sz w:val="24"/>
                <w:szCs w:val="24"/>
                <w:lang w:bidi="ar"/>
              </w:rPr>
              <w:t>单位：万元</w:t>
            </w:r>
          </w:p>
        </w:tc>
      </w:tr>
      <w:tr w:rsidR="00F43A36">
        <w:trPr>
          <w:trHeight w:val="392"/>
        </w:trPr>
        <w:tc>
          <w:tcPr>
            <w:tcW w:w="2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061A8A">
            <w:pPr>
              <w:widowControl/>
              <w:jc w:val="left"/>
              <w:textAlignment w:val="center"/>
              <w:rPr>
                <w:rFonts w:ascii="等线" w:eastAsia="等线" w:hAnsi="等线" w:cs="等线"/>
                <w:color w:val="000000"/>
                <w:sz w:val="22"/>
              </w:rPr>
            </w:pPr>
            <w:r>
              <w:rPr>
                <w:rFonts w:ascii="等线" w:eastAsia="等线" w:hAnsi="等线" w:cs="等线" w:hint="eastAsia"/>
                <w:color w:val="000000"/>
                <w:kern w:val="0"/>
                <w:sz w:val="22"/>
                <w:lang w:bidi="ar"/>
              </w:rPr>
              <w:t>关联方名称</w:t>
            </w:r>
          </w:p>
        </w:tc>
        <w:tc>
          <w:tcPr>
            <w:tcW w:w="4155" w:type="dxa"/>
            <w:gridSpan w:val="3"/>
            <w:tcBorders>
              <w:top w:val="single" w:sz="4" w:space="0" w:color="000000"/>
              <w:left w:val="single" w:sz="4" w:space="0" w:color="000000"/>
              <w:bottom w:val="single" w:sz="4" w:space="0" w:color="000000"/>
            </w:tcBorders>
            <w:shd w:val="clear" w:color="auto" w:fill="auto"/>
            <w:vAlign w:val="center"/>
          </w:tcPr>
          <w:p w:rsidR="00F43A36" w:rsidRDefault="00F43A36">
            <w:pPr>
              <w:jc w:val="center"/>
              <w:rPr>
                <w:rFonts w:ascii="等线" w:eastAsia="等线" w:hAnsi="等线" w:cs="等线"/>
                <w:color w:val="000000"/>
                <w:sz w:val="22"/>
              </w:rPr>
            </w:pP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061A8A">
            <w:pPr>
              <w:widowControl/>
              <w:jc w:val="left"/>
              <w:textAlignment w:val="center"/>
              <w:rPr>
                <w:rFonts w:ascii="等线" w:eastAsia="等线" w:hAnsi="等线" w:cs="等线"/>
                <w:color w:val="000000"/>
                <w:sz w:val="22"/>
              </w:rPr>
            </w:pPr>
            <w:r>
              <w:rPr>
                <w:rFonts w:ascii="等线" w:eastAsia="等线" w:hAnsi="等线" w:cs="等线" w:hint="eastAsia"/>
                <w:color w:val="000000"/>
                <w:kern w:val="0"/>
                <w:sz w:val="22"/>
                <w:lang w:bidi="ar"/>
              </w:rPr>
              <w:t>授信时间</w:t>
            </w:r>
          </w:p>
        </w:tc>
        <w:tc>
          <w:tcPr>
            <w:tcW w:w="486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等线" w:eastAsia="等线" w:hAnsi="等线" w:cs="等线"/>
                <w:color w:val="000000"/>
                <w:sz w:val="22"/>
              </w:rPr>
            </w:pPr>
          </w:p>
        </w:tc>
      </w:tr>
      <w:tr w:rsidR="00F43A36">
        <w:trPr>
          <w:trHeight w:val="492"/>
        </w:trPr>
        <w:tc>
          <w:tcPr>
            <w:tcW w:w="2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061A8A">
            <w:pPr>
              <w:widowControl/>
              <w:jc w:val="left"/>
              <w:textAlignment w:val="center"/>
              <w:rPr>
                <w:rFonts w:ascii="等线" w:eastAsia="等线" w:hAnsi="等线" w:cs="等线"/>
                <w:color w:val="000000"/>
                <w:sz w:val="22"/>
              </w:rPr>
            </w:pPr>
            <w:r>
              <w:rPr>
                <w:rFonts w:ascii="等线" w:eastAsia="等线" w:hAnsi="等线" w:cs="等线" w:hint="eastAsia"/>
                <w:color w:val="000000"/>
                <w:kern w:val="0"/>
                <w:sz w:val="22"/>
                <w:lang w:bidi="ar"/>
              </w:rPr>
              <w:t>所属集团</w:t>
            </w:r>
          </w:p>
        </w:tc>
        <w:tc>
          <w:tcPr>
            <w:tcW w:w="11255"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等线" w:eastAsia="等线" w:hAnsi="等线" w:cs="等线"/>
                <w:color w:val="000000"/>
                <w:sz w:val="22"/>
              </w:rPr>
            </w:pPr>
          </w:p>
        </w:tc>
      </w:tr>
      <w:tr w:rsidR="00F43A36">
        <w:trPr>
          <w:trHeight w:val="509"/>
        </w:trPr>
        <w:tc>
          <w:tcPr>
            <w:tcW w:w="2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061A8A">
            <w:pPr>
              <w:widowControl/>
              <w:jc w:val="left"/>
              <w:textAlignment w:val="center"/>
              <w:rPr>
                <w:rFonts w:ascii="等线" w:eastAsia="等线" w:hAnsi="等线" w:cs="等线"/>
                <w:color w:val="000000"/>
                <w:sz w:val="22"/>
              </w:rPr>
            </w:pPr>
            <w:r>
              <w:rPr>
                <w:rFonts w:ascii="等线" w:eastAsia="等线" w:hAnsi="等线" w:cs="等线" w:hint="eastAsia"/>
                <w:color w:val="000000"/>
                <w:kern w:val="0"/>
                <w:sz w:val="22"/>
                <w:lang w:bidi="ar"/>
              </w:rPr>
              <w:t>与我行关联关系</w:t>
            </w:r>
          </w:p>
        </w:tc>
        <w:tc>
          <w:tcPr>
            <w:tcW w:w="11255"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等线" w:eastAsia="等线" w:hAnsi="等线" w:cs="等线"/>
                <w:color w:val="000000"/>
                <w:sz w:val="22"/>
              </w:rPr>
            </w:pPr>
          </w:p>
        </w:tc>
      </w:tr>
      <w:tr w:rsidR="00F43A36">
        <w:trPr>
          <w:trHeight w:val="525"/>
        </w:trPr>
        <w:tc>
          <w:tcPr>
            <w:tcW w:w="2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061A8A">
            <w:pPr>
              <w:widowControl/>
              <w:jc w:val="left"/>
              <w:textAlignment w:val="center"/>
              <w:rPr>
                <w:rFonts w:ascii="等线" w:eastAsia="等线" w:hAnsi="等线" w:cs="等线"/>
                <w:color w:val="000000"/>
                <w:sz w:val="22"/>
              </w:rPr>
            </w:pPr>
            <w:r>
              <w:rPr>
                <w:rFonts w:ascii="等线" w:eastAsia="等线" w:hAnsi="等线" w:cs="等线" w:hint="eastAsia"/>
                <w:color w:val="000000"/>
                <w:kern w:val="0"/>
                <w:sz w:val="22"/>
                <w:lang w:bidi="ar"/>
              </w:rPr>
              <w:t>原授信额度</w:t>
            </w:r>
          </w:p>
        </w:tc>
        <w:tc>
          <w:tcPr>
            <w:tcW w:w="415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等线" w:eastAsia="等线" w:hAnsi="等线" w:cs="等线"/>
                <w:color w:val="000000"/>
                <w:sz w:val="22"/>
              </w:rPr>
            </w:pP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061A8A">
            <w:pPr>
              <w:widowControl/>
              <w:jc w:val="left"/>
              <w:textAlignment w:val="center"/>
              <w:rPr>
                <w:rFonts w:ascii="等线" w:eastAsia="等线" w:hAnsi="等线" w:cs="等线"/>
                <w:color w:val="000000"/>
                <w:sz w:val="22"/>
              </w:rPr>
            </w:pPr>
            <w:r>
              <w:rPr>
                <w:rFonts w:ascii="等线" w:eastAsia="等线" w:hAnsi="等线" w:cs="等线" w:hint="eastAsia"/>
                <w:color w:val="000000"/>
                <w:kern w:val="0"/>
                <w:sz w:val="22"/>
                <w:lang w:bidi="ar"/>
              </w:rPr>
              <w:t>原集团授信额度</w:t>
            </w:r>
          </w:p>
        </w:tc>
        <w:tc>
          <w:tcPr>
            <w:tcW w:w="486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等线" w:eastAsia="等线" w:hAnsi="等线" w:cs="等线"/>
                <w:color w:val="000000"/>
                <w:sz w:val="22"/>
              </w:rPr>
            </w:pPr>
          </w:p>
        </w:tc>
      </w:tr>
      <w:tr w:rsidR="00F43A36">
        <w:trPr>
          <w:trHeight w:val="475"/>
        </w:trPr>
        <w:tc>
          <w:tcPr>
            <w:tcW w:w="2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061A8A">
            <w:pPr>
              <w:widowControl/>
              <w:jc w:val="left"/>
              <w:textAlignment w:val="center"/>
              <w:rPr>
                <w:rFonts w:ascii="等线" w:eastAsia="等线" w:hAnsi="等线" w:cs="等线"/>
                <w:color w:val="000000"/>
                <w:sz w:val="22"/>
              </w:rPr>
            </w:pPr>
            <w:r>
              <w:rPr>
                <w:rFonts w:ascii="等线" w:eastAsia="等线" w:hAnsi="等线" w:cs="等线" w:hint="eastAsia"/>
                <w:color w:val="000000"/>
                <w:kern w:val="0"/>
                <w:sz w:val="22"/>
                <w:lang w:bidi="ar"/>
              </w:rPr>
              <w:t>现授信额度</w:t>
            </w:r>
          </w:p>
        </w:tc>
        <w:tc>
          <w:tcPr>
            <w:tcW w:w="415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等线" w:eastAsia="等线" w:hAnsi="等线" w:cs="等线"/>
                <w:color w:val="000000"/>
                <w:sz w:val="22"/>
              </w:rPr>
            </w:pP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061A8A">
            <w:pPr>
              <w:widowControl/>
              <w:jc w:val="left"/>
              <w:textAlignment w:val="center"/>
              <w:rPr>
                <w:rFonts w:ascii="等线" w:eastAsia="等线" w:hAnsi="等线" w:cs="等线"/>
                <w:color w:val="000000"/>
                <w:sz w:val="22"/>
              </w:rPr>
            </w:pPr>
            <w:r>
              <w:rPr>
                <w:rFonts w:ascii="等线" w:eastAsia="等线" w:hAnsi="等线" w:cs="等线" w:hint="eastAsia"/>
                <w:color w:val="000000"/>
                <w:kern w:val="0"/>
                <w:sz w:val="22"/>
                <w:lang w:bidi="ar"/>
              </w:rPr>
              <w:t>现集团授信额度</w:t>
            </w:r>
          </w:p>
        </w:tc>
        <w:tc>
          <w:tcPr>
            <w:tcW w:w="486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等线" w:eastAsia="等线" w:hAnsi="等线" w:cs="等线"/>
                <w:color w:val="000000"/>
                <w:sz w:val="22"/>
              </w:rPr>
            </w:pPr>
          </w:p>
        </w:tc>
      </w:tr>
      <w:tr w:rsidR="00F43A36">
        <w:trPr>
          <w:trHeight w:val="558"/>
        </w:trPr>
        <w:tc>
          <w:tcPr>
            <w:tcW w:w="2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061A8A">
            <w:pPr>
              <w:widowControl/>
              <w:jc w:val="left"/>
              <w:textAlignment w:val="center"/>
              <w:rPr>
                <w:rFonts w:ascii="等线" w:eastAsia="等线" w:hAnsi="等线" w:cs="等线"/>
                <w:color w:val="000000"/>
                <w:sz w:val="22"/>
              </w:rPr>
            </w:pPr>
            <w:r>
              <w:rPr>
                <w:rFonts w:ascii="等线" w:eastAsia="等线" w:hAnsi="等线" w:cs="等线" w:hint="eastAsia"/>
                <w:color w:val="000000"/>
                <w:kern w:val="0"/>
                <w:sz w:val="22"/>
                <w:lang w:bidi="ar"/>
              </w:rPr>
              <w:t>本次支用额度</w:t>
            </w:r>
          </w:p>
        </w:tc>
        <w:tc>
          <w:tcPr>
            <w:tcW w:w="415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等线" w:eastAsia="等线" w:hAnsi="等线" w:cs="等线"/>
                <w:color w:val="000000"/>
                <w:sz w:val="22"/>
              </w:rPr>
            </w:pP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061A8A">
            <w:pPr>
              <w:widowControl/>
              <w:jc w:val="left"/>
              <w:textAlignment w:val="center"/>
              <w:rPr>
                <w:rFonts w:ascii="等线" w:eastAsia="等线" w:hAnsi="等线" w:cs="等线"/>
                <w:color w:val="000000"/>
                <w:sz w:val="22"/>
              </w:rPr>
            </w:pPr>
            <w:r>
              <w:rPr>
                <w:rFonts w:ascii="等线" w:eastAsia="等线" w:hAnsi="等线" w:cs="等线" w:hint="eastAsia"/>
                <w:color w:val="000000"/>
                <w:kern w:val="0"/>
                <w:sz w:val="22"/>
                <w:lang w:bidi="ar"/>
              </w:rPr>
              <w:t>关联交易类型</w:t>
            </w:r>
          </w:p>
        </w:tc>
        <w:tc>
          <w:tcPr>
            <w:tcW w:w="486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等线" w:eastAsia="等线" w:hAnsi="等线" w:cs="等线"/>
                <w:color w:val="000000"/>
                <w:sz w:val="22"/>
              </w:rPr>
            </w:pPr>
          </w:p>
        </w:tc>
      </w:tr>
      <w:tr w:rsidR="00F43A36">
        <w:trPr>
          <w:trHeight w:val="525"/>
        </w:trPr>
        <w:tc>
          <w:tcPr>
            <w:tcW w:w="2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061A8A">
            <w:pPr>
              <w:widowControl/>
              <w:jc w:val="left"/>
              <w:textAlignment w:val="center"/>
              <w:rPr>
                <w:rFonts w:ascii="等线" w:eastAsia="等线" w:hAnsi="等线" w:cs="等线"/>
                <w:color w:val="000000"/>
                <w:sz w:val="22"/>
              </w:rPr>
            </w:pPr>
            <w:r>
              <w:rPr>
                <w:rFonts w:ascii="等线" w:eastAsia="等线" w:hAnsi="等线" w:cs="等线" w:hint="eastAsia"/>
                <w:color w:val="000000"/>
                <w:kern w:val="0"/>
                <w:sz w:val="22"/>
                <w:lang w:bidi="ar"/>
              </w:rPr>
              <w:t>分支行经办人</w:t>
            </w:r>
          </w:p>
        </w:tc>
        <w:tc>
          <w:tcPr>
            <w:tcW w:w="415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等线" w:eastAsia="等线" w:hAnsi="等线" w:cs="等线"/>
                <w:color w:val="000000"/>
                <w:sz w:val="22"/>
              </w:rPr>
            </w:pP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061A8A">
            <w:pPr>
              <w:widowControl/>
              <w:jc w:val="left"/>
              <w:textAlignment w:val="center"/>
              <w:rPr>
                <w:rFonts w:ascii="等线" w:eastAsia="等线" w:hAnsi="等线" w:cs="等线"/>
                <w:color w:val="000000"/>
                <w:sz w:val="22"/>
              </w:rPr>
            </w:pPr>
            <w:r>
              <w:rPr>
                <w:rFonts w:ascii="等线" w:eastAsia="等线" w:hAnsi="等线" w:cs="等线" w:hint="eastAsia"/>
                <w:color w:val="000000"/>
                <w:kern w:val="0"/>
                <w:sz w:val="22"/>
                <w:lang w:bidi="ar"/>
              </w:rPr>
              <w:t>分支行负责人</w:t>
            </w:r>
          </w:p>
        </w:tc>
        <w:tc>
          <w:tcPr>
            <w:tcW w:w="486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等线" w:eastAsia="等线" w:hAnsi="等线" w:cs="等线"/>
                <w:color w:val="000000"/>
                <w:sz w:val="22"/>
              </w:rPr>
            </w:pPr>
          </w:p>
        </w:tc>
      </w:tr>
      <w:tr w:rsidR="00F43A36">
        <w:trPr>
          <w:trHeight w:val="425"/>
        </w:trPr>
        <w:tc>
          <w:tcPr>
            <w:tcW w:w="2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061A8A">
            <w:pPr>
              <w:widowControl/>
              <w:jc w:val="left"/>
              <w:textAlignment w:val="center"/>
              <w:rPr>
                <w:rFonts w:ascii="等线" w:eastAsia="等线" w:hAnsi="等线" w:cs="等线"/>
                <w:color w:val="000000"/>
                <w:sz w:val="22"/>
              </w:rPr>
            </w:pPr>
            <w:r>
              <w:rPr>
                <w:rFonts w:ascii="等线" w:eastAsia="等线" w:hAnsi="等线" w:cs="等线" w:hint="eastAsia"/>
                <w:color w:val="000000"/>
                <w:kern w:val="0"/>
                <w:sz w:val="22"/>
                <w:lang w:bidi="ar"/>
              </w:rPr>
              <w:t>授信审批部经办人</w:t>
            </w:r>
          </w:p>
        </w:tc>
        <w:tc>
          <w:tcPr>
            <w:tcW w:w="415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等线" w:eastAsia="等线" w:hAnsi="等线" w:cs="等线"/>
                <w:color w:val="000000"/>
                <w:sz w:val="22"/>
              </w:rPr>
            </w:pP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061A8A">
            <w:pPr>
              <w:widowControl/>
              <w:jc w:val="left"/>
              <w:textAlignment w:val="center"/>
              <w:rPr>
                <w:rFonts w:ascii="等线" w:eastAsia="等线" w:hAnsi="等线" w:cs="等线"/>
                <w:color w:val="000000"/>
                <w:sz w:val="22"/>
              </w:rPr>
            </w:pPr>
            <w:r>
              <w:rPr>
                <w:rFonts w:ascii="等线" w:eastAsia="等线" w:hAnsi="等线" w:cs="等线" w:hint="eastAsia"/>
                <w:color w:val="000000"/>
                <w:kern w:val="0"/>
                <w:sz w:val="22"/>
                <w:lang w:bidi="ar"/>
              </w:rPr>
              <w:t>授信审批部负责人</w:t>
            </w:r>
          </w:p>
        </w:tc>
        <w:tc>
          <w:tcPr>
            <w:tcW w:w="486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等线" w:eastAsia="等线" w:hAnsi="等线" w:cs="等线"/>
                <w:color w:val="000000"/>
                <w:sz w:val="22"/>
              </w:rPr>
            </w:pPr>
          </w:p>
        </w:tc>
      </w:tr>
      <w:tr w:rsidR="00F43A36">
        <w:trPr>
          <w:gridAfter w:val="1"/>
          <w:wAfter w:w="1627" w:type="dxa"/>
          <w:trHeight w:val="705"/>
        </w:trPr>
        <w:tc>
          <w:tcPr>
            <w:tcW w:w="2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061A8A">
            <w:pPr>
              <w:widowControl/>
              <w:jc w:val="left"/>
              <w:textAlignment w:val="center"/>
              <w:rPr>
                <w:rFonts w:ascii="等线" w:eastAsia="等线" w:hAnsi="等线" w:cs="等线"/>
                <w:color w:val="000000"/>
                <w:sz w:val="22"/>
              </w:rPr>
            </w:pPr>
            <w:r>
              <w:rPr>
                <w:rFonts w:ascii="等线" w:eastAsia="等线" w:hAnsi="等线" w:cs="等线" w:hint="eastAsia"/>
                <w:color w:val="000000"/>
                <w:kern w:val="0"/>
                <w:sz w:val="22"/>
                <w:lang w:bidi="ar"/>
              </w:rPr>
              <w:t>董事会办公室签收人</w:t>
            </w:r>
          </w:p>
        </w:tc>
        <w:tc>
          <w:tcPr>
            <w:tcW w:w="962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等线" w:eastAsia="等线" w:hAnsi="等线" w:cs="等线"/>
                <w:color w:val="000000"/>
                <w:sz w:val="22"/>
              </w:rPr>
            </w:pPr>
          </w:p>
        </w:tc>
      </w:tr>
      <w:tr w:rsidR="00F43A36">
        <w:trPr>
          <w:gridAfter w:val="1"/>
          <w:wAfter w:w="1627" w:type="dxa"/>
          <w:trHeight w:val="285"/>
        </w:trPr>
        <w:tc>
          <w:tcPr>
            <w:tcW w:w="11743" w:type="dxa"/>
            <w:gridSpan w:val="8"/>
            <w:tcBorders>
              <w:top w:val="single" w:sz="4" w:space="0" w:color="000000"/>
            </w:tcBorders>
            <w:shd w:val="clear" w:color="auto" w:fill="auto"/>
            <w:vAlign w:val="center"/>
          </w:tcPr>
          <w:p w:rsidR="00F43A36" w:rsidRDefault="00061A8A">
            <w:pPr>
              <w:widowControl/>
              <w:jc w:val="left"/>
              <w:textAlignment w:val="center"/>
              <w:rPr>
                <w:rFonts w:ascii="等线" w:eastAsia="等线" w:hAnsi="等线" w:cs="等线"/>
                <w:b/>
                <w:color w:val="000000"/>
                <w:sz w:val="20"/>
                <w:szCs w:val="20"/>
              </w:rPr>
            </w:pPr>
            <w:r>
              <w:rPr>
                <w:rFonts w:ascii="等线" w:eastAsia="等线" w:hAnsi="等线" w:cs="等线" w:hint="eastAsia"/>
                <w:b/>
                <w:color w:val="000000"/>
                <w:kern w:val="0"/>
                <w:sz w:val="20"/>
                <w:szCs w:val="20"/>
                <w:lang w:bidi="ar"/>
              </w:rPr>
              <w:t>备注：</w:t>
            </w:r>
          </w:p>
        </w:tc>
      </w:tr>
      <w:tr w:rsidR="00F43A36">
        <w:trPr>
          <w:gridAfter w:val="1"/>
          <w:wAfter w:w="1627" w:type="dxa"/>
          <w:trHeight w:val="285"/>
        </w:trPr>
        <w:tc>
          <w:tcPr>
            <w:tcW w:w="11743" w:type="dxa"/>
            <w:gridSpan w:val="8"/>
            <w:shd w:val="clear" w:color="auto" w:fill="auto"/>
            <w:vAlign w:val="center"/>
          </w:tcPr>
          <w:p w:rsidR="00F43A36" w:rsidRDefault="00061A8A">
            <w:pPr>
              <w:widowControl/>
              <w:jc w:val="left"/>
              <w:textAlignment w:val="center"/>
              <w:rPr>
                <w:rFonts w:ascii="等线" w:eastAsia="等线" w:hAnsi="等线" w:cs="等线"/>
                <w:color w:val="000000"/>
                <w:sz w:val="20"/>
                <w:szCs w:val="20"/>
              </w:rPr>
            </w:pPr>
            <w:r>
              <w:rPr>
                <w:rFonts w:ascii="等线" w:eastAsia="等线" w:hAnsi="等线" w:cs="等线" w:hint="eastAsia"/>
                <w:color w:val="000000"/>
                <w:kern w:val="0"/>
                <w:sz w:val="20"/>
                <w:szCs w:val="20"/>
                <w:lang w:bidi="ar"/>
              </w:rPr>
              <w:t>1、此表用于授信审批部在关联方出账审批结束后向董事会办公室报备使用；</w:t>
            </w:r>
          </w:p>
        </w:tc>
      </w:tr>
      <w:tr w:rsidR="00F43A36">
        <w:trPr>
          <w:gridAfter w:val="1"/>
          <w:wAfter w:w="1627" w:type="dxa"/>
          <w:trHeight w:val="285"/>
        </w:trPr>
        <w:tc>
          <w:tcPr>
            <w:tcW w:w="11743" w:type="dxa"/>
            <w:gridSpan w:val="8"/>
            <w:shd w:val="clear" w:color="auto" w:fill="auto"/>
            <w:vAlign w:val="center"/>
          </w:tcPr>
          <w:p w:rsidR="00F43A36" w:rsidRDefault="00061A8A">
            <w:pPr>
              <w:widowControl/>
              <w:jc w:val="left"/>
              <w:textAlignment w:val="center"/>
              <w:rPr>
                <w:rFonts w:ascii="等线" w:eastAsia="等线" w:hAnsi="等线" w:cs="等线"/>
                <w:color w:val="000000"/>
                <w:sz w:val="20"/>
                <w:szCs w:val="20"/>
              </w:rPr>
            </w:pPr>
            <w:r>
              <w:rPr>
                <w:rFonts w:ascii="等线" w:eastAsia="等线" w:hAnsi="等线" w:cs="等线" w:hint="eastAsia"/>
                <w:color w:val="000000"/>
                <w:kern w:val="0"/>
                <w:sz w:val="20"/>
                <w:szCs w:val="20"/>
                <w:lang w:bidi="ar"/>
              </w:rPr>
              <w:t>2、关联交易类型填写“一般关联交易”、“重大关联交易”；</w:t>
            </w:r>
          </w:p>
        </w:tc>
      </w:tr>
      <w:tr w:rsidR="00F43A36">
        <w:trPr>
          <w:gridAfter w:val="1"/>
          <w:wAfter w:w="1627" w:type="dxa"/>
          <w:trHeight w:val="285"/>
        </w:trPr>
        <w:tc>
          <w:tcPr>
            <w:tcW w:w="11743" w:type="dxa"/>
            <w:gridSpan w:val="8"/>
            <w:shd w:val="clear" w:color="auto" w:fill="auto"/>
            <w:vAlign w:val="center"/>
          </w:tcPr>
          <w:p w:rsidR="00F43A36" w:rsidRDefault="00061A8A">
            <w:pPr>
              <w:widowControl/>
              <w:jc w:val="left"/>
              <w:textAlignment w:val="center"/>
              <w:rPr>
                <w:rFonts w:ascii="等线" w:eastAsia="等线" w:hAnsi="等线" w:cs="等线"/>
                <w:color w:val="000000"/>
                <w:sz w:val="20"/>
                <w:szCs w:val="20"/>
              </w:rPr>
            </w:pPr>
            <w:r>
              <w:rPr>
                <w:rFonts w:ascii="等线" w:eastAsia="等线" w:hAnsi="等线" w:cs="等线" w:hint="eastAsia"/>
                <w:color w:val="000000"/>
                <w:kern w:val="0"/>
                <w:sz w:val="20"/>
                <w:szCs w:val="20"/>
                <w:lang w:bidi="ar"/>
              </w:rPr>
              <w:t>3、如关联方无所属集团，需在所属集团栏内注明“无所属集团”。</w:t>
            </w:r>
          </w:p>
        </w:tc>
      </w:tr>
    </w:tbl>
    <w:p w:rsidR="00F43A36" w:rsidRDefault="00F43A36">
      <w:pPr>
        <w:sectPr w:rsidR="00F43A36">
          <w:pgSz w:w="16838" w:h="11906" w:orient="landscape"/>
          <w:pgMar w:top="1800" w:right="1440" w:bottom="1800" w:left="1440" w:header="851" w:footer="992" w:gutter="0"/>
          <w:cols w:space="425"/>
          <w:docGrid w:type="lines" w:linePitch="312"/>
        </w:sectPr>
      </w:pPr>
    </w:p>
    <w:tbl>
      <w:tblPr>
        <w:tblW w:w="11880" w:type="dxa"/>
        <w:tblLayout w:type="fixed"/>
        <w:tblCellMar>
          <w:top w:w="15" w:type="dxa"/>
          <w:left w:w="15" w:type="dxa"/>
          <w:bottom w:w="15" w:type="dxa"/>
          <w:right w:w="15" w:type="dxa"/>
        </w:tblCellMar>
        <w:tblLook w:val="04A0" w:firstRow="1" w:lastRow="0" w:firstColumn="1" w:lastColumn="0" w:noHBand="0" w:noVBand="1"/>
      </w:tblPr>
      <w:tblGrid>
        <w:gridCol w:w="1320"/>
        <w:gridCol w:w="1320"/>
        <w:gridCol w:w="1320"/>
        <w:gridCol w:w="1320"/>
        <w:gridCol w:w="1320"/>
        <w:gridCol w:w="1320"/>
        <w:gridCol w:w="1320"/>
        <w:gridCol w:w="1320"/>
        <w:gridCol w:w="1320"/>
      </w:tblGrid>
      <w:tr w:rsidR="00F43A36">
        <w:trPr>
          <w:trHeight w:val="285"/>
        </w:trPr>
        <w:tc>
          <w:tcPr>
            <w:tcW w:w="1320" w:type="dxa"/>
            <w:shd w:val="clear" w:color="auto" w:fill="auto"/>
            <w:vAlign w:val="center"/>
          </w:tcPr>
          <w:p w:rsidR="00F43A36" w:rsidRDefault="00061A8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lastRenderedPageBreak/>
              <w:t>附件6-1</w:t>
            </w: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r>
      <w:tr w:rsidR="00F43A36">
        <w:trPr>
          <w:trHeight w:val="450"/>
        </w:trPr>
        <w:tc>
          <w:tcPr>
            <w:tcW w:w="11880" w:type="dxa"/>
            <w:gridSpan w:val="9"/>
            <w:shd w:val="clear" w:color="auto" w:fill="auto"/>
            <w:vAlign w:val="center"/>
          </w:tcPr>
          <w:p w:rsidR="00F43A36" w:rsidRDefault="00061A8A">
            <w:pPr>
              <w:widowControl/>
              <w:jc w:val="center"/>
              <w:textAlignment w:val="center"/>
              <w:rPr>
                <w:rFonts w:ascii="华文中宋" w:eastAsia="华文中宋" w:hAnsi="华文中宋" w:cs="华文中宋"/>
                <w:b/>
                <w:color w:val="000000"/>
                <w:sz w:val="30"/>
                <w:szCs w:val="30"/>
              </w:rPr>
            </w:pPr>
            <w:r>
              <w:rPr>
                <w:rFonts w:ascii="华文中宋" w:eastAsia="华文中宋" w:hAnsi="华文中宋" w:cs="华文中宋" w:hint="eastAsia"/>
                <w:b/>
                <w:color w:val="000000"/>
                <w:kern w:val="0"/>
                <w:sz w:val="30"/>
                <w:szCs w:val="30"/>
                <w:lang w:bidi="ar"/>
              </w:rPr>
              <w:t>重庆农村商业银行授信类关联交易审查申请表</w:t>
            </w:r>
          </w:p>
        </w:tc>
      </w:tr>
      <w:tr w:rsidR="00F43A36">
        <w:trPr>
          <w:trHeight w:val="312"/>
        </w:trPr>
        <w:tc>
          <w:tcPr>
            <w:tcW w:w="13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061A8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申请机构/部门</w:t>
            </w:r>
          </w:p>
        </w:tc>
        <w:tc>
          <w:tcPr>
            <w:tcW w:w="7920" w:type="dxa"/>
            <w:gridSpan w:val="6"/>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3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061A8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报告日期</w:t>
            </w:r>
          </w:p>
        </w:tc>
        <w:tc>
          <w:tcPr>
            <w:tcW w:w="13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r>
      <w:tr w:rsidR="00F43A36">
        <w:trPr>
          <w:trHeight w:val="312"/>
        </w:trPr>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7920" w:type="dxa"/>
            <w:gridSpan w:val="6"/>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r>
      <w:tr w:rsidR="00F43A36">
        <w:trPr>
          <w:trHeight w:val="315"/>
        </w:trPr>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7920" w:type="dxa"/>
            <w:gridSpan w:val="6"/>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r>
      <w:tr w:rsidR="00F43A36">
        <w:trPr>
          <w:trHeight w:val="840"/>
        </w:trPr>
        <w:tc>
          <w:tcPr>
            <w:tcW w:w="13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061A8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申请关联交易信息</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061A8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申请交易关联方全称／姓名</w:t>
            </w:r>
          </w:p>
        </w:tc>
        <w:tc>
          <w:tcPr>
            <w:tcW w:w="3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061A8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关联关系</w:t>
            </w:r>
          </w:p>
        </w:tc>
        <w:tc>
          <w:tcPr>
            <w:tcW w:w="3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r>
      <w:tr w:rsidR="00F43A36">
        <w:trPr>
          <w:trHeight w:val="480"/>
        </w:trPr>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061A8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本次申请关联交易授信额度</w:t>
            </w:r>
          </w:p>
        </w:tc>
        <w:tc>
          <w:tcPr>
            <w:tcW w:w="924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r>
      <w:tr w:rsidR="00F43A36">
        <w:trPr>
          <w:trHeight w:val="312"/>
        </w:trPr>
        <w:tc>
          <w:tcPr>
            <w:tcW w:w="13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061A8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申请机构 意见</w:t>
            </w:r>
          </w:p>
        </w:tc>
        <w:tc>
          <w:tcPr>
            <w:tcW w:w="10560" w:type="dxa"/>
            <w:gridSpan w:val="8"/>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F43A36" w:rsidRDefault="00061A8A">
            <w:pPr>
              <w:widowControl/>
              <w:jc w:val="center"/>
              <w:textAlignment w:val="bottom"/>
              <w:rPr>
                <w:rFonts w:ascii="Times New Roman" w:eastAsia="宋体" w:hAnsi="Times New Roman" w:cs="Times New Roman"/>
                <w:color w:val="000000"/>
                <w:sz w:val="20"/>
                <w:szCs w:val="20"/>
              </w:rPr>
            </w:pPr>
            <w:r>
              <w:rPr>
                <w:rStyle w:val="font31"/>
                <w:rFonts w:hint="default"/>
                <w:lang w:bidi="ar"/>
              </w:rPr>
              <w:t>经办人：</w:t>
            </w:r>
            <w:r>
              <w:rPr>
                <w:rStyle w:val="font21"/>
                <w:rFonts w:eastAsia="宋体"/>
                <w:lang w:bidi="ar"/>
              </w:rPr>
              <w:t xml:space="preserve">                             </w:t>
            </w:r>
            <w:r>
              <w:rPr>
                <w:rStyle w:val="font31"/>
                <w:rFonts w:hint="default"/>
                <w:lang w:bidi="ar"/>
              </w:rPr>
              <w:t>机构负责人：</w:t>
            </w:r>
            <w:r>
              <w:rPr>
                <w:rStyle w:val="font21"/>
                <w:rFonts w:eastAsia="宋体"/>
                <w:lang w:bidi="ar"/>
              </w:rPr>
              <w:t xml:space="preserve">                                                       </w:t>
            </w:r>
            <w:r>
              <w:rPr>
                <w:rStyle w:val="font31"/>
                <w:rFonts w:hint="default"/>
                <w:lang w:bidi="ar"/>
              </w:rPr>
              <w:t>日期：</w:t>
            </w:r>
            <w:r>
              <w:rPr>
                <w:rStyle w:val="font21"/>
                <w:rFonts w:eastAsia="宋体"/>
                <w:lang w:bidi="ar"/>
              </w:rPr>
              <w:t xml:space="preserve">                                                                                                                                                                   </w:t>
            </w:r>
          </w:p>
        </w:tc>
      </w:tr>
      <w:tr w:rsidR="00F43A36">
        <w:trPr>
          <w:trHeight w:val="312"/>
        </w:trPr>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0560" w:type="dxa"/>
            <w:gridSpan w:val="8"/>
            <w:vMerge/>
            <w:tcBorders>
              <w:top w:val="single" w:sz="4" w:space="0" w:color="000000"/>
              <w:left w:val="single" w:sz="4" w:space="0" w:color="000000"/>
              <w:bottom w:val="single" w:sz="4" w:space="0" w:color="000000"/>
              <w:right w:val="single" w:sz="4" w:space="0" w:color="000000"/>
            </w:tcBorders>
            <w:shd w:val="clear" w:color="auto" w:fill="auto"/>
            <w:vAlign w:val="bottom"/>
          </w:tcPr>
          <w:p w:rsidR="00F43A36" w:rsidRDefault="00F43A36">
            <w:pPr>
              <w:jc w:val="center"/>
              <w:rPr>
                <w:rFonts w:ascii="Times New Roman" w:eastAsia="宋体" w:hAnsi="Times New Roman" w:cs="Times New Roman"/>
                <w:color w:val="000000"/>
                <w:sz w:val="20"/>
                <w:szCs w:val="20"/>
              </w:rPr>
            </w:pPr>
          </w:p>
        </w:tc>
      </w:tr>
      <w:tr w:rsidR="00F43A36">
        <w:trPr>
          <w:trHeight w:val="312"/>
        </w:trPr>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0560" w:type="dxa"/>
            <w:gridSpan w:val="8"/>
            <w:vMerge/>
            <w:tcBorders>
              <w:top w:val="single" w:sz="4" w:space="0" w:color="000000"/>
              <w:left w:val="single" w:sz="4" w:space="0" w:color="000000"/>
              <w:bottom w:val="single" w:sz="4" w:space="0" w:color="000000"/>
              <w:right w:val="single" w:sz="4" w:space="0" w:color="000000"/>
            </w:tcBorders>
            <w:shd w:val="clear" w:color="auto" w:fill="auto"/>
            <w:vAlign w:val="bottom"/>
          </w:tcPr>
          <w:p w:rsidR="00F43A36" w:rsidRDefault="00F43A36">
            <w:pPr>
              <w:jc w:val="center"/>
              <w:rPr>
                <w:rFonts w:ascii="Times New Roman" w:eastAsia="宋体" w:hAnsi="Times New Roman" w:cs="Times New Roman"/>
                <w:color w:val="000000"/>
                <w:sz w:val="20"/>
                <w:szCs w:val="20"/>
              </w:rPr>
            </w:pPr>
          </w:p>
        </w:tc>
      </w:tr>
      <w:tr w:rsidR="00F43A36">
        <w:trPr>
          <w:trHeight w:val="312"/>
        </w:trPr>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0560" w:type="dxa"/>
            <w:gridSpan w:val="8"/>
            <w:vMerge/>
            <w:tcBorders>
              <w:top w:val="single" w:sz="4" w:space="0" w:color="000000"/>
              <w:left w:val="single" w:sz="4" w:space="0" w:color="000000"/>
              <w:bottom w:val="single" w:sz="4" w:space="0" w:color="000000"/>
              <w:right w:val="single" w:sz="4" w:space="0" w:color="000000"/>
            </w:tcBorders>
            <w:shd w:val="clear" w:color="auto" w:fill="auto"/>
            <w:vAlign w:val="bottom"/>
          </w:tcPr>
          <w:p w:rsidR="00F43A36" w:rsidRDefault="00F43A36">
            <w:pPr>
              <w:jc w:val="center"/>
              <w:rPr>
                <w:rFonts w:ascii="Times New Roman" w:eastAsia="宋体" w:hAnsi="Times New Roman" w:cs="Times New Roman"/>
                <w:color w:val="000000"/>
                <w:sz w:val="20"/>
                <w:szCs w:val="20"/>
              </w:rPr>
            </w:pPr>
          </w:p>
        </w:tc>
      </w:tr>
      <w:tr w:rsidR="00F43A36">
        <w:trPr>
          <w:trHeight w:val="312"/>
        </w:trPr>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0560" w:type="dxa"/>
            <w:gridSpan w:val="8"/>
            <w:vMerge/>
            <w:tcBorders>
              <w:top w:val="single" w:sz="4" w:space="0" w:color="000000"/>
              <w:left w:val="single" w:sz="4" w:space="0" w:color="000000"/>
              <w:bottom w:val="single" w:sz="4" w:space="0" w:color="000000"/>
              <w:right w:val="single" w:sz="4" w:space="0" w:color="000000"/>
            </w:tcBorders>
            <w:shd w:val="clear" w:color="auto" w:fill="auto"/>
            <w:vAlign w:val="bottom"/>
          </w:tcPr>
          <w:p w:rsidR="00F43A36" w:rsidRDefault="00F43A36">
            <w:pPr>
              <w:jc w:val="center"/>
              <w:rPr>
                <w:rFonts w:ascii="Times New Roman" w:eastAsia="宋体" w:hAnsi="Times New Roman" w:cs="Times New Roman"/>
                <w:color w:val="000000"/>
                <w:sz w:val="20"/>
                <w:szCs w:val="20"/>
              </w:rPr>
            </w:pPr>
          </w:p>
        </w:tc>
      </w:tr>
      <w:tr w:rsidR="00F43A36">
        <w:trPr>
          <w:trHeight w:val="312"/>
        </w:trPr>
        <w:tc>
          <w:tcPr>
            <w:tcW w:w="13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061A8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总行条线部门初审意见</w:t>
            </w:r>
          </w:p>
        </w:tc>
        <w:tc>
          <w:tcPr>
            <w:tcW w:w="10560" w:type="dxa"/>
            <w:gridSpan w:val="8"/>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F43A36" w:rsidRDefault="00061A8A">
            <w:pPr>
              <w:widowControl/>
              <w:jc w:val="center"/>
              <w:textAlignment w:val="bottom"/>
              <w:rPr>
                <w:rFonts w:ascii="Times New Roman" w:eastAsia="宋体" w:hAnsi="Times New Roman" w:cs="Times New Roman"/>
                <w:color w:val="000000"/>
                <w:sz w:val="20"/>
                <w:szCs w:val="20"/>
              </w:rPr>
            </w:pPr>
            <w:r>
              <w:rPr>
                <w:rStyle w:val="font31"/>
                <w:rFonts w:hint="default"/>
                <w:lang w:bidi="ar"/>
              </w:rPr>
              <w:t>经办人：</w:t>
            </w:r>
            <w:r>
              <w:rPr>
                <w:rStyle w:val="font21"/>
                <w:rFonts w:eastAsia="宋体"/>
                <w:lang w:bidi="ar"/>
              </w:rPr>
              <w:t xml:space="preserve">                            </w:t>
            </w:r>
            <w:r>
              <w:rPr>
                <w:rStyle w:val="font31"/>
                <w:rFonts w:hint="default"/>
                <w:lang w:bidi="ar"/>
              </w:rPr>
              <w:t>部门负责人：</w:t>
            </w:r>
            <w:r>
              <w:rPr>
                <w:rStyle w:val="font21"/>
                <w:rFonts w:eastAsia="宋体"/>
                <w:lang w:bidi="ar"/>
              </w:rPr>
              <w:t xml:space="preserve">                                                       </w:t>
            </w:r>
            <w:r>
              <w:rPr>
                <w:rStyle w:val="font31"/>
                <w:rFonts w:hint="default"/>
                <w:lang w:bidi="ar"/>
              </w:rPr>
              <w:t>日期：</w:t>
            </w:r>
            <w:r>
              <w:rPr>
                <w:rStyle w:val="font21"/>
                <w:rFonts w:eastAsia="宋体"/>
                <w:lang w:bidi="ar"/>
              </w:rPr>
              <w:t xml:space="preserve">                                                                                                                                                                   </w:t>
            </w:r>
          </w:p>
        </w:tc>
      </w:tr>
      <w:tr w:rsidR="00F43A36">
        <w:trPr>
          <w:trHeight w:val="312"/>
        </w:trPr>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0560" w:type="dxa"/>
            <w:gridSpan w:val="8"/>
            <w:vMerge/>
            <w:tcBorders>
              <w:top w:val="single" w:sz="4" w:space="0" w:color="000000"/>
              <w:left w:val="single" w:sz="4" w:space="0" w:color="000000"/>
              <w:bottom w:val="single" w:sz="4" w:space="0" w:color="000000"/>
              <w:right w:val="single" w:sz="4" w:space="0" w:color="000000"/>
            </w:tcBorders>
            <w:shd w:val="clear" w:color="auto" w:fill="auto"/>
            <w:vAlign w:val="bottom"/>
          </w:tcPr>
          <w:p w:rsidR="00F43A36" w:rsidRDefault="00F43A36">
            <w:pPr>
              <w:jc w:val="center"/>
              <w:rPr>
                <w:rFonts w:ascii="Times New Roman" w:eastAsia="宋体" w:hAnsi="Times New Roman" w:cs="Times New Roman"/>
                <w:color w:val="000000"/>
                <w:sz w:val="20"/>
                <w:szCs w:val="20"/>
              </w:rPr>
            </w:pPr>
          </w:p>
        </w:tc>
      </w:tr>
      <w:tr w:rsidR="00F43A36">
        <w:trPr>
          <w:trHeight w:val="312"/>
        </w:trPr>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0560" w:type="dxa"/>
            <w:gridSpan w:val="8"/>
            <w:vMerge/>
            <w:tcBorders>
              <w:top w:val="single" w:sz="4" w:space="0" w:color="000000"/>
              <w:left w:val="single" w:sz="4" w:space="0" w:color="000000"/>
              <w:bottom w:val="single" w:sz="4" w:space="0" w:color="000000"/>
              <w:right w:val="single" w:sz="4" w:space="0" w:color="000000"/>
            </w:tcBorders>
            <w:shd w:val="clear" w:color="auto" w:fill="auto"/>
            <w:vAlign w:val="bottom"/>
          </w:tcPr>
          <w:p w:rsidR="00F43A36" w:rsidRDefault="00F43A36">
            <w:pPr>
              <w:jc w:val="center"/>
              <w:rPr>
                <w:rFonts w:ascii="Times New Roman" w:eastAsia="宋体" w:hAnsi="Times New Roman" w:cs="Times New Roman"/>
                <w:color w:val="000000"/>
                <w:sz w:val="20"/>
                <w:szCs w:val="20"/>
              </w:rPr>
            </w:pPr>
          </w:p>
        </w:tc>
      </w:tr>
      <w:tr w:rsidR="00F43A36">
        <w:trPr>
          <w:trHeight w:val="312"/>
        </w:trPr>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0560" w:type="dxa"/>
            <w:gridSpan w:val="8"/>
            <w:vMerge/>
            <w:tcBorders>
              <w:top w:val="single" w:sz="4" w:space="0" w:color="000000"/>
              <w:left w:val="single" w:sz="4" w:space="0" w:color="000000"/>
              <w:bottom w:val="single" w:sz="4" w:space="0" w:color="000000"/>
              <w:right w:val="single" w:sz="4" w:space="0" w:color="000000"/>
            </w:tcBorders>
            <w:shd w:val="clear" w:color="auto" w:fill="auto"/>
            <w:vAlign w:val="bottom"/>
          </w:tcPr>
          <w:p w:rsidR="00F43A36" w:rsidRDefault="00F43A36">
            <w:pPr>
              <w:jc w:val="center"/>
              <w:rPr>
                <w:rFonts w:ascii="Times New Roman" w:eastAsia="宋体" w:hAnsi="Times New Roman" w:cs="Times New Roman"/>
                <w:color w:val="000000"/>
                <w:sz w:val="20"/>
                <w:szCs w:val="20"/>
              </w:rPr>
            </w:pPr>
          </w:p>
        </w:tc>
      </w:tr>
      <w:tr w:rsidR="00F43A36">
        <w:trPr>
          <w:trHeight w:val="312"/>
        </w:trPr>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0560" w:type="dxa"/>
            <w:gridSpan w:val="8"/>
            <w:vMerge/>
            <w:tcBorders>
              <w:top w:val="single" w:sz="4" w:space="0" w:color="000000"/>
              <w:left w:val="single" w:sz="4" w:space="0" w:color="000000"/>
              <w:bottom w:val="single" w:sz="4" w:space="0" w:color="000000"/>
              <w:right w:val="single" w:sz="4" w:space="0" w:color="000000"/>
            </w:tcBorders>
            <w:shd w:val="clear" w:color="auto" w:fill="auto"/>
            <w:vAlign w:val="bottom"/>
          </w:tcPr>
          <w:p w:rsidR="00F43A36" w:rsidRDefault="00F43A36">
            <w:pPr>
              <w:jc w:val="center"/>
              <w:rPr>
                <w:rFonts w:ascii="Times New Roman" w:eastAsia="宋体" w:hAnsi="Times New Roman" w:cs="Times New Roman"/>
                <w:color w:val="000000"/>
                <w:sz w:val="20"/>
                <w:szCs w:val="20"/>
              </w:rPr>
            </w:pPr>
          </w:p>
        </w:tc>
      </w:tr>
      <w:tr w:rsidR="00F43A36">
        <w:trPr>
          <w:trHeight w:val="315"/>
        </w:trPr>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0560" w:type="dxa"/>
            <w:gridSpan w:val="8"/>
            <w:vMerge/>
            <w:tcBorders>
              <w:top w:val="single" w:sz="4" w:space="0" w:color="000000"/>
              <w:left w:val="single" w:sz="4" w:space="0" w:color="000000"/>
              <w:bottom w:val="single" w:sz="4" w:space="0" w:color="000000"/>
              <w:right w:val="single" w:sz="4" w:space="0" w:color="000000"/>
            </w:tcBorders>
            <w:shd w:val="clear" w:color="auto" w:fill="auto"/>
            <w:vAlign w:val="bottom"/>
          </w:tcPr>
          <w:p w:rsidR="00F43A36" w:rsidRDefault="00F43A36">
            <w:pPr>
              <w:jc w:val="center"/>
              <w:rPr>
                <w:rFonts w:ascii="Times New Roman" w:eastAsia="宋体" w:hAnsi="Times New Roman" w:cs="Times New Roman"/>
                <w:color w:val="000000"/>
                <w:sz w:val="20"/>
                <w:szCs w:val="20"/>
              </w:rPr>
            </w:pPr>
          </w:p>
        </w:tc>
      </w:tr>
      <w:tr w:rsidR="00F43A36">
        <w:trPr>
          <w:trHeight w:val="1170"/>
        </w:trPr>
        <w:tc>
          <w:tcPr>
            <w:tcW w:w="13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061A8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总行授信审批部意见</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061A8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本次交易通过后，本行对该关联方授信总额 ①</w:t>
            </w:r>
          </w:p>
        </w:tc>
        <w:tc>
          <w:tcPr>
            <w:tcW w:w="924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r>
      <w:tr w:rsidR="00F43A36">
        <w:trPr>
          <w:trHeight w:val="315"/>
        </w:trPr>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3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061A8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申请交易方为法人或其他组织的，与其关联的其他法人或组织在本行的当前授信额度</w:t>
            </w:r>
          </w:p>
        </w:tc>
        <w:tc>
          <w:tcPr>
            <w:tcW w:w="396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061A8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姓名/机构全称</w:t>
            </w:r>
          </w:p>
        </w:tc>
        <w:tc>
          <w:tcPr>
            <w:tcW w:w="396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061A8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与交易方的关系</w:t>
            </w:r>
          </w:p>
        </w:tc>
        <w:tc>
          <w:tcPr>
            <w:tcW w:w="13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061A8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在本行当前授信额度</w:t>
            </w:r>
          </w:p>
        </w:tc>
      </w:tr>
      <w:tr w:rsidR="00F43A36">
        <w:trPr>
          <w:trHeight w:val="315"/>
        </w:trPr>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396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396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r>
      <w:tr w:rsidR="00F43A36">
        <w:trPr>
          <w:trHeight w:val="360"/>
        </w:trPr>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3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3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r>
      <w:tr w:rsidR="00F43A36">
        <w:trPr>
          <w:trHeight w:val="360"/>
        </w:trPr>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3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3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r>
      <w:tr w:rsidR="00F43A36">
        <w:trPr>
          <w:trHeight w:val="360"/>
        </w:trPr>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3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3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r>
      <w:tr w:rsidR="00F43A36">
        <w:trPr>
          <w:trHeight w:val="360"/>
        </w:trPr>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3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3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r>
      <w:tr w:rsidR="00F43A36">
        <w:trPr>
          <w:trHeight w:val="360"/>
        </w:trPr>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3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3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r>
      <w:tr w:rsidR="00F43A36">
        <w:trPr>
          <w:trHeight w:val="360"/>
        </w:trPr>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3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3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r>
      <w:tr w:rsidR="00F43A36">
        <w:trPr>
          <w:trHeight w:val="360"/>
        </w:trPr>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3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3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r>
      <w:tr w:rsidR="00F43A36">
        <w:trPr>
          <w:trHeight w:val="510"/>
        </w:trPr>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3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061A8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小计 ②</w:t>
            </w:r>
          </w:p>
        </w:tc>
        <w:tc>
          <w:tcPr>
            <w:tcW w:w="3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r>
      <w:tr w:rsidR="00F43A36">
        <w:trPr>
          <w:trHeight w:val="312"/>
        </w:trPr>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3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061A8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审查意见                                                                                                                                                                </w:t>
            </w:r>
          </w:p>
        </w:tc>
        <w:tc>
          <w:tcPr>
            <w:tcW w:w="9240" w:type="dxa"/>
            <w:gridSpan w:val="7"/>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F43A36" w:rsidRDefault="00061A8A">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经办人：             部门负责人：                        日期：                                                                      </w:t>
            </w:r>
          </w:p>
        </w:tc>
      </w:tr>
      <w:tr w:rsidR="00F43A36">
        <w:trPr>
          <w:trHeight w:val="312"/>
        </w:trPr>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9240" w:type="dxa"/>
            <w:gridSpan w:val="7"/>
            <w:vMerge/>
            <w:tcBorders>
              <w:top w:val="single" w:sz="4" w:space="0" w:color="000000"/>
              <w:left w:val="single" w:sz="4" w:space="0" w:color="000000"/>
              <w:bottom w:val="single" w:sz="4" w:space="0" w:color="000000"/>
              <w:right w:val="single" w:sz="4" w:space="0" w:color="000000"/>
            </w:tcBorders>
            <w:shd w:val="clear" w:color="auto" w:fill="auto"/>
            <w:vAlign w:val="bottom"/>
          </w:tcPr>
          <w:p w:rsidR="00F43A36" w:rsidRDefault="00F43A36">
            <w:pPr>
              <w:jc w:val="left"/>
              <w:rPr>
                <w:rFonts w:ascii="宋体" w:eastAsia="宋体" w:hAnsi="宋体" w:cs="宋体"/>
                <w:color w:val="000000"/>
                <w:sz w:val="20"/>
                <w:szCs w:val="20"/>
              </w:rPr>
            </w:pPr>
          </w:p>
        </w:tc>
      </w:tr>
      <w:tr w:rsidR="00F43A36">
        <w:trPr>
          <w:trHeight w:val="312"/>
        </w:trPr>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9240" w:type="dxa"/>
            <w:gridSpan w:val="7"/>
            <w:vMerge/>
            <w:tcBorders>
              <w:top w:val="single" w:sz="4" w:space="0" w:color="000000"/>
              <w:left w:val="single" w:sz="4" w:space="0" w:color="000000"/>
              <w:bottom w:val="single" w:sz="4" w:space="0" w:color="000000"/>
              <w:right w:val="single" w:sz="4" w:space="0" w:color="000000"/>
            </w:tcBorders>
            <w:shd w:val="clear" w:color="auto" w:fill="auto"/>
            <w:vAlign w:val="bottom"/>
          </w:tcPr>
          <w:p w:rsidR="00F43A36" w:rsidRDefault="00F43A36">
            <w:pPr>
              <w:jc w:val="left"/>
              <w:rPr>
                <w:rFonts w:ascii="宋体" w:eastAsia="宋体" w:hAnsi="宋体" w:cs="宋体"/>
                <w:color w:val="000000"/>
                <w:sz w:val="20"/>
                <w:szCs w:val="20"/>
              </w:rPr>
            </w:pPr>
          </w:p>
        </w:tc>
      </w:tr>
      <w:tr w:rsidR="00F43A36">
        <w:trPr>
          <w:trHeight w:val="312"/>
        </w:trPr>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9240" w:type="dxa"/>
            <w:gridSpan w:val="7"/>
            <w:vMerge/>
            <w:tcBorders>
              <w:top w:val="single" w:sz="4" w:space="0" w:color="000000"/>
              <w:left w:val="single" w:sz="4" w:space="0" w:color="000000"/>
              <w:bottom w:val="single" w:sz="4" w:space="0" w:color="000000"/>
              <w:right w:val="single" w:sz="4" w:space="0" w:color="000000"/>
            </w:tcBorders>
            <w:shd w:val="clear" w:color="auto" w:fill="auto"/>
            <w:vAlign w:val="bottom"/>
          </w:tcPr>
          <w:p w:rsidR="00F43A36" w:rsidRDefault="00F43A36">
            <w:pPr>
              <w:jc w:val="left"/>
              <w:rPr>
                <w:rFonts w:ascii="宋体" w:eastAsia="宋体" w:hAnsi="宋体" w:cs="宋体"/>
                <w:color w:val="000000"/>
                <w:sz w:val="20"/>
                <w:szCs w:val="20"/>
              </w:rPr>
            </w:pPr>
          </w:p>
        </w:tc>
      </w:tr>
      <w:tr w:rsidR="00F43A36">
        <w:trPr>
          <w:trHeight w:val="312"/>
        </w:trPr>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9240" w:type="dxa"/>
            <w:gridSpan w:val="7"/>
            <w:vMerge/>
            <w:tcBorders>
              <w:top w:val="single" w:sz="4" w:space="0" w:color="000000"/>
              <w:left w:val="single" w:sz="4" w:space="0" w:color="000000"/>
              <w:bottom w:val="single" w:sz="4" w:space="0" w:color="000000"/>
              <w:right w:val="single" w:sz="4" w:space="0" w:color="000000"/>
            </w:tcBorders>
            <w:shd w:val="clear" w:color="auto" w:fill="auto"/>
            <w:vAlign w:val="bottom"/>
          </w:tcPr>
          <w:p w:rsidR="00F43A36" w:rsidRDefault="00F43A36">
            <w:pPr>
              <w:jc w:val="left"/>
              <w:rPr>
                <w:rFonts w:ascii="宋体" w:eastAsia="宋体" w:hAnsi="宋体" w:cs="宋体"/>
                <w:color w:val="000000"/>
                <w:sz w:val="20"/>
                <w:szCs w:val="20"/>
              </w:rPr>
            </w:pPr>
          </w:p>
        </w:tc>
      </w:tr>
      <w:tr w:rsidR="00F43A36">
        <w:trPr>
          <w:trHeight w:val="720"/>
        </w:trPr>
        <w:tc>
          <w:tcPr>
            <w:tcW w:w="13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061A8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总行董事会办公室意见</w:t>
            </w:r>
          </w:p>
        </w:tc>
        <w:tc>
          <w:tcPr>
            <w:tcW w:w="13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061A8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申请交易方为自然人的，其近亲属在本行</w:t>
            </w:r>
            <w:r>
              <w:rPr>
                <w:rFonts w:ascii="宋体" w:eastAsia="宋体" w:hAnsi="宋体" w:cs="宋体" w:hint="eastAsia"/>
                <w:color w:val="000000"/>
                <w:kern w:val="0"/>
                <w:sz w:val="20"/>
                <w:szCs w:val="20"/>
                <w:lang w:bidi="ar"/>
              </w:rPr>
              <w:lastRenderedPageBreak/>
              <w:t>的当前交易金额</w:t>
            </w:r>
          </w:p>
        </w:tc>
        <w:tc>
          <w:tcPr>
            <w:tcW w:w="3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061A8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近亲属姓名</w:t>
            </w:r>
          </w:p>
        </w:tc>
        <w:tc>
          <w:tcPr>
            <w:tcW w:w="3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061A8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身份证件 /护照号码</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061A8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在本行当前交易金额</w:t>
            </w:r>
          </w:p>
        </w:tc>
      </w:tr>
      <w:tr w:rsidR="00F43A36">
        <w:trPr>
          <w:trHeight w:val="315"/>
        </w:trPr>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3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3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rPr>
                <w:rFonts w:ascii="宋体" w:eastAsia="宋体" w:hAnsi="宋体" w:cs="宋体"/>
                <w:color w:val="000000"/>
                <w:sz w:val="20"/>
                <w:szCs w:val="20"/>
              </w:rPr>
            </w:pPr>
          </w:p>
        </w:tc>
      </w:tr>
      <w:tr w:rsidR="00F43A36">
        <w:trPr>
          <w:trHeight w:val="315"/>
        </w:trPr>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3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3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r>
      <w:tr w:rsidR="00F43A36">
        <w:trPr>
          <w:trHeight w:val="315"/>
        </w:trPr>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3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3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r>
      <w:tr w:rsidR="00F43A36">
        <w:trPr>
          <w:trHeight w:val="315"/>
        </w:trPr>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3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061A8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小计 ③</w:t>
            </w:r>
          </w:p>
        </w:tc>
        <w:tc>
          <w:tcPr>
            <w:tcW w:w="3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r>
      <w:tr w:rsidR="00F43A36">
        <w:trPr>
          <w:trHeight w:val="315"/>
        </w:trPr>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3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061A8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申请交易方为法人或其他组织的，与其关联的其他法人或组织在本行的当前非授信类交易金额</w:t>
            </w:r>
          </w:p>
        </w:tc>
        <w:tc>
          <w:tcPr>
            <w:tcW w:w="396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061A8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姓名/机构全称</w:t>
            </w:r>
          </w:p>
        </w:tc>
        <w:tc>
          <w:tcPr>
            <w:tcW w:w="396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061A8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与交易方的关系</w:t>
            </w:r>
          </w:p>
        </w:tc>
        <w:tc>
          <w:tcPr>
            <w:tcW w:w="13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061A8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在本行当前交易金额</w:t>
            </w:r>
          </w:p>
        </w:tc>
      </w:tr>
      <w:tr w:rsidR="00F43A36">
        <w:trPr>
          <w:trHeight w:val="315"/>
        </w:trPr>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396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396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r>
      <w:tr w:rsidR="00F43A36">
        <w:trPr>
          <w:trHeight w:val="315"/>
        </w:trPr>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3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3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r>
      <w:tr w:rsidR="00F43A36">
        <w:trPr>
          <w:trHeight w:val="315"/>
        </w:trPr>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3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3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r>
      <w:tr w:rsidR="00F43A36">
        <w:trPr>
          <w:trHeight w:val="315"/>
        </w:trPr>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3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3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r>
      <w:tr w:rsidR="00F43A36">
        <w:trPr>
          <w:trHeight w:val="315"/>
        </w:trPr>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3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3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r>
      <w:tr w:rsidR="00F43A36">
        <w:trPr>
          <w:trHeight w:val="315"/>
        </w:trPr>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3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3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r>
      <w:tr w:rsidR="00F43A36">
        <w:trPr>
          <w:trHeight w:val="315"/>
        </w:trPr>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3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3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r>
      <w:tr w:rsidR="00F43A36">
        <w:trPr>
          <w:trHeight w:val="315"/>
        </w:trPr>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3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3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r>
      <w:tr w:rsidR="00F43A36">
        <w:trPr>
          <w:trHeight w:val="315"/>
        </w:trPr>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3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3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r>
      <w:tr w:rsidR="00F43A36">
        <w:trPr>
          <w:trHeight w:val="300"/>
        </w:trPr>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3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061A8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小计 ④</w:t>
            </w:r>
          </w:p>
        </w:tc>
        <w:tc>
          <w:tcPr>
            <w:tcW w:w="3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r>
      <w:tr w:rsidR="00F43A36">
        <w:trPr>
          <w:trHeight w:val="480"/>
        </w:trPr>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3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061A8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上证口径下过去12个月除本次交易外，同一关联人在本行的未披露的交易金额</w:t>
            </w:r>
          </w:p>
        </w:tc>
        <w:tc>
          <w:tcPr>
            <w:tcW w:w="3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061A8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姓名/机构全称</w:t>
            </w:r>
          </w:p>
        </w:tc>
        <w:tc>
          <w:tcPr>
            <w:tcW w:w="3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061A8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与交易方的关系</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061A8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在本行当前交易金额</w:t>
            </w:r>
          </w:p>
        </w:tc>
      </w:tr>
      <w:tr w:rsidR="00F43A36">
        <w:trPr>
          <w:trHeight w:val="300"/>
        </w:trPr>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3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3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r>
      <w:tr w:rsidR="00F43A36">
        <w:trPr>
          <w:trHeight w:val="300"/>
        </w:trPr>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3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3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r>
      <w:tr w:rsidR="00F43A36">
        <w:trPr>
          <w:trHeight w:val="300"/>
        </w:trPr>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3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3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r>
      <w:tr w:rsidR="00F43A36">
        <w:trPr>
          <w:trHeight w:val="300"/>
        </w:trPr>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3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3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r>
      <w:tr w:rsidR="00F43A36">
        <w:trPr>
          <w:trHeight w:val="300"/>
        </w:trPr>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3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061A8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小计⑤</w:t>
            </w:r>
          </w:p>
        </w:tc>
        <w:tc>
          <w:tcPr>
            <w:tcW w:w="3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r>
      <w:tr w:rsidR="00F43A36">
        <w:trPr>
          <w:trHeight w:val="810"/>
        </w:trPr>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3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061A8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若本次申请获得批准，申请交易关联方与其近亲属在本行的关联交易总额度 ⑥=①+③</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rPr>
                <w:rFonts w:ascii="宋体" w:eastAsia="宋体" w:hAnsi="宋体" w:cs="宋体"/>
                <w:color w:val="000000"/>
                <w:sz w:val="20"/>
                <w:szCs w:val="20"/>
              </w:rPr>
            </w:pPr>
          </w:p>
        </w:tc>
        <w:tc>
          <w:tcPr>
            <w:tcW w:w="13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061A8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上季末资本净额</w:t>
            </w:r>
          </w:p>
        </w:tc>
        <w:tc>
          <w:tcPr>
            <w:tcW w:w="13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3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061A8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占本行上季末资本净额比</w:t>
            </w:r>
            <w:r>
              <w:rPr>
                <w:rFonts w:ascii="宋体" w:eastAsia="宋体" w:hAnsi="宋体" w:cs="宋体" w:hint="eastAsia"/>
                <w:color w:val="000000"/>
                <w:kern w:val="0"/>
                <w:sz w:val="20"/>
                <w:szCs w:val="20"/>
                <w:lang w:bidi="ar"/>
              </w:rPr>
              <w:lastRenderedPageBreak/>
              <w:t>例%</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rPr>
                <w:rFonts w:ascii="宋体" w:eastAsia="宋体" w:hAnsi="宋体" w:cs="宋体"/>
                <w:color w:val="000000"/>
                <w:sz w:val="20"/>
                <w:szCs w:val="20"/>
              </w:rPr>
            </w:pPr>
          </w:p>
        </w:tc>
      </w:tr>
      <w:tr w:rsidR="00F43A36">
        <w:trPr>
          <w:trHeight w:val="1020"/>
        </w:trPr>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3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061A8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若本次申请获得批准，申请交易关联方与其关联的法人或组织在本行的关联交易总额度⑦=①+②+④</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rPr>
                <w:rFonts w:ascii="宋体" w:eastAsia="宋体" w:hAnsi="宋体" w:cs="宋体"/>
                <w:color w:val="000000"/>
                <w:sz w:val="20"/>
                <w:szCs w:val="20"/>
              </w:rPr>
            </w:pPr>
          </w:p>
        </w:tc>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rPr>
                <w:rFonts w:ascii="宋体" w:eastAsia="宋体" w:hAnsi="宋体" w:cs="宋体"/>
                <w:color w:val="000000"/>
                <w:sz w:val="20"/>
                <w:szCs w:val="20"/>
              </w:rPr>
            </w:pPr>
          </w:p>
        </w:tc>
      </w:tr>
      <w:tr w:rsidR="00F43A36">
        <w:trPr>
          <w:trHeight w:val="810"/>
        </w:trPr>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3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061A8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若本次申请获得批准，上证口径下过去12个月同一关联人在本行的未披露的交易金额⑧=①+⑤</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rPr>
                <w:rFonts w:ascii="宋体" w:eastAsia="宋体" w:hAnsi="宋体" w:cs="宋体"/>
                <w:color w:val="000000"/>
                <w:sz w:val="20"/>
                <w:szCs w:val="20"/>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061A8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最近一期经审计净资产</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061A8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占最近一期经审计净资产比例%</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rPr>
                <w:rFonts w:ascii="宋体" w:eastAsia="宋体" w:hAnsi="宋体" w:cs="宋体"/>
                <w:color w:val="000000"/>
                <w:sz w:val="20"/>
                <w:szCs w:val="20"/>
              </w:rPr>
            </w:pPr>
          </w:p>
        </w:tc>
      </w:tr>
      <w:tr w:rsidR="00F43A36">
        <w:trPr>
          <w:trHeight w:val="285"/>
        </w:trPr>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396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061A8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初步认定本次申请的关联交易类型（在相应括号内打√）</w:t>
            </w:r>
          </w:p>
        </w:tc>
        <w:tc>
          <w:tcPr>
            <w:tcW w:w="660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061A8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）一般关联交易 （）重大关联交易</w:t>
            </w:r>
          </w:p>
        </w:tc>
      </w:tr>
      <w:tr w:rsidR="00F43A36">
        <w:trPr>
          <w:trHeight w:val="870"/>
        </w:trPr>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396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660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061A8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）及时披露 （ ）提董事会并及时披露 （ ）提股东大会并及时披露    （ ）其他</w:t>
            </w:r>
          </w:p>
        </w:tc>
      </w:tr>
      <w:tr w:rsidR="00F43A36">
        <w:trPr>
          <w:trHeight w:val="312"/>
        </w:trPr>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3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061A8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审查意见                                                                                                                                                                </w:t>
            </w:r>
          </w:p>
        </w:tc>
        <w:tc>
          <w:tcPr>
            <w:tcW w:w="9240" w:type="dxa"/>
            <w:gridSpan w:val="7"/>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F43A36" w:rsidRDefault="00061A8A">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经办人：             部门负责人：                  日期：                                  </w:t>
            </w:r>
          </w:p>
        </w:tc>
      </w:tr>
      <w:tr w:rsidR="00F43A36">
        <w:trPr>
          <w:trHeight w:val="312"/>
        </w:trPr>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9240" w:type="dxa"/>
            <w:gridSpan w:val="7"/>
            <w:vMerge/>
            <w:tcBorders>
              <w:top w:val="single" w:sz="4" w:space="0" w:color="000000"/>
              <w:left w:val="single" w:sz="4" w:space="0" w:color="000000"/>
              <w:bottom w:val="single" w:sz="4" w:space="0" w:color="000000"/>
              <w:right w:val="single" w:sz="4" w:space="0" w:color="000000"/>
            </w:tcBorders>
            <w:shd w:val="clear" w:color="auto" w:fill="auto"/>
            <w:vAlign w:val="bottom"/>
          </w:tcPr>
          <w:p w:rsidR="00F43A36" w:rsidRDefault="00F43A36">
            <w:pPr>
              <w:jc w:val="left"/>
              <w:rPr>
                <w:rFonts w:ascii="宋体" w:eastAsia="宋体" w:hAnsi="宋体" w:cs="宋体"/>
                <w:color w:val="000000"/>
                <w:sz w:val="20"/>
                <w:szCs w:val="20"/>
              </w:rPr>
            </w:pPr>
          </w:p>
        </w:tc>
      </w:tr>
      <w:tr w:rsidR="00F43A36">
        <w:trPr>
          <w:trHeight w:val="312"/>
        </w:trPr>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9240" w:type="dxa"/>
            <w:gridSpan w:val="7"/>
            <w:vMerge/>
            <w:tcBorders>
              <w:top w:val="single" w:sz="4" w:space="0" w:color="000000"/>
              <w:left w:val="single" w:sz="4" w:space="0" w:color="000000"/>
              <w:bottom w:val="single" w:sz="4" w:space="0" w:color="000000"/>
              <w:right w:val="single" w:sz="4" w:space="0" w:color="000000"/>
            </w:tcBorders>
            <w:shd w:val="clear" w:color="auto" w:fill="auto"/>
            <w:vAlign w:val="bottom"/>
          </w:tcPr>
          <w:p w:rsidR="00F43A36" w:rsidRDefault="00F43A36">
            <w:pPr>
              <w:jc w:val="left"/>
              <w:rPr>
                <w:rFonts w:ascii="宋体" w:eastAsia="宋体" w:hAnsi="宋体" w:cs="宋体"/>
                <w:color w:val="000000"/>
                <w:sz w:val="20"/>
                <w:szCs w:val="20"/>
              </w:rPr>
            </w:pPr>
          </w:p>
        </w:tc>
      </w:tr>
      <w:tr w:rsidR="00F43A36">
        <w:trPr>
          <w:trHeight w:val="312"/>
        </w:trPr>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9240" w:type="dxa"/>
            <w:gridSpan w:val="7"/>
            <w:vMerge/>
            <w:tcBorders>
              <w:top w:val="single" w:sz="4" w:space="0" w:color="000000"/>
              <w:left w:val="single" w:sz="4" w:space="0" w:color="000000"/>
              <w:bottom w:val="single" w:sz="4" w:space="0" w:color="000000"/>
              <w:right w:val="single" w:sz="4" w:space="0" w:color="000000"/>
            </w:tcBorders>
            <w:shd w:val="clear" w:color="auto" w:fill="auto"/>
            <w:vAlign w:val="bottom"/>
          </w:tcPr>
          <w:p w:rsidR="00F43A36" w:rsidRDefault="00F43A36">
            <w:pPr>
              <w:jc w:val="left"/>
              <w:rPr>
                <w:rFonts w:ascii="宋体" w:eastAsia="宋体" w:hAnsi="宋体" w:cs="宋体"/>
                <w:color w:val="000000"/>
                <w:sz w:val="20"/>
                <w:szCs w:val="20"/>
              </w:rPr>
            </w:pPr>
          </w:p>
        </w:tc>
      </w:tr>
      <w:tr w:rsidR="00F43A36">
        <w:trPr>
          <w:trHeight w:val="315"/>
        </w:trPr>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9240" w:type="dxa"/>
            <w:gridSpan w:val="7"/>
            <w:vMerge/>
            <w:tcBorders>
              <w:top w:val="single" w:sz="4" w:space="0" w:color="000000"/>
              <w:left w:val="single" w:sz="4" w:space="0" w:color="000000"/>
              <w:bottom w:val="single" w:sz="4" w:space="0" w:color="000000"/>
              <w:right w:val="single" w:sz="4" w:space="0" w:color="000000"/>
            </w:tcBorders>
            <w:shd w:val="clear" w:color="auto" w:fill="auto"/>
            <w:vAlign w:val="bottom"/>
          </w:tcPr>
          <w:p w:rsidR="00F43A36" w:rsidRDefault="00F43A36">
            <w:pPr>
              <w:jc w:val="left"/>
              <w:rPr>
                <w:rFonts w:ascii="宋体" w:eastAsia="宋体" w:hAnsi="宋体" w:cs="宋体"/>
                <w:color w:val="000000"/>
                <w:sz w:val="20"/>
                <w:szCs w:val="20"/>
              </w:rPr>
            </w:pPr>
          </w:p>
        </w:tc>
      </w:tr>
      <w:tr w:rsidR="00F43A36">
        <w:trPr>
          <w:trHeight w:val="285"/>
        </w:trPr>
        <w:tc>
          <w:tcPr>
            <w:tcW w:w="1320" w:type="dxa"/>
            <w:shd w:val="clear" w:color="auto" w:fill="auto"/>
            <w:vAlign w:val="center"/>
          </w:tcPr>
          <w:p w:rsidR="00F43A36" w:rsidRDefault="00F43A36">
            <w:pPr>
              <w:rPr>
                <w:rFonts w:ascii="Calibri" w:eastAsia="宋体" w:hAnsi="Calibri" w:cs="Calibri"/>
                <w:color w:val="000000"/>
                <w:szCs w:val="21"/>
              </w:rPr>
            </w:pPr>
          </w:p>
        </w:tc>
        <w:tc>
          <w:tcPr>
            <w:tcW w:w="1320" w:type="dxa"/>
            <w:shd w:val="clear" w:color="auto" w:fill="auto"/>
            <w:vAlign w:val="center"/>
          </w:tcPr>
          <w:p w:rsidR="00F43A36" w:rsidRDefault="00F43A36">
            <w:pPr>
              <w:rPr>
                <w:rFonts w:ascii="Calibri" w:eastAsia="宋体" w:hAnsi="Calibri" w:cs="Calibri"/>
                <w:color w:val="000000"/>
                <w:szCs w:val="21"/>
              </w:rPr>
            </w:pPr>
          </w:p>
        </w:tc>
        <w:tc>
          <w:tcPr>
            <w:tcW w:w="1320" w:type="dxa"/>
            <w:shd w:val="clear" w:color="auto" w:fill="auto"/>
            <w:vAlign w:val="center"/>
          </w:tcPr>
          <w:p w:rsidR="00F43A36" w:rsidRDefault="00F43A36">
            <w:pPr>
              <w:rPr>
                <w:rFonts w:ascii="Calibri" w:eastAsia="宋体" w:hAnsi="Calibri" w:cs="Calibri"/>
                <w:color w:val="000000"/>
                <w:szCs w:val="21"/>
              </w:rPr>
            </w:pPr>
          </w:p>
        </w:tc>
        <w:tc>
          <w:tcPr>
            <w:tcW w:w="1320" w:type="dxa"/>
            <w:shd w:val="clear" w:color="auto" w:fill="auto"/>
            <w:vAlign w:val="center"/>
          </w:tcPr>
          <w:p w:rsidR="00F43A36" w:rsidRDefault="00F43A36">
            <w:pPr>
              <w:rPr>
                <w:rFonts w:ascii="Calibri" w:eastAsia="宋体" w:hAnsi="Calibri" w:cs="Calibri"/>
                <w:color w:val="000000"/>
                <w:szCs w:val="21"/>
              </w:rPr>
            </w:pPr>
          </w:p>
        </w:tc>
        <w:tc>
          <w:tcPr>
            <w:tcW w:w="1320" w:type="dxa"/>
            <w:shd w:val="clear" w:color="auto" w:fill="auto"/>
            <w:vAlign w:val="center"/>
          </w:tcPr>
          <w:p w:rsidR="00F43A36" w:rsidRDefault="00F43A36">
            <w:pPr>
              <w:rPr>
                <w:rFonts w:ascii="Calibri" w:eastAsia="宋体" w:hAnsi="Calibri" w:cs="Calibri"/>
                <w:color w:val="000000"/>
                <w:szCs w:val="21"/>
              </w:rPr>
            </w:pPr>
          </w:p>
        </w:tc>
        <w:tc>
          <w:tcPr>
            <w:tcW w:w="1320" w:type="dxa"/>
            <w:shd w:val="clear" w:color="auto" w:fill="auto"/>
            <w:vAlign w:val="center"/>
          </w:tcPr>
          <w:p w:rsidR="00F43A36" w:rsidRDefault="00F43A36">
            <w:pPr>
              <w:rPr>
                <w:rFonts w:ascii="Calibri" w:eastAsia="宋体" w:hAnsi="Calibri" w:cs="Calibri"/>
                <w:color w:val="000000"/>
                <w:szCs w:val="21"/>
              </w:rPr>
            </w:pPr>
          </w:p>
        </w:tc>
        <w:tc>
          <w:tcPr>
            <w:tcW w:w="1320" w:type="dxa"/>
            <w:shd w:val="clear" w:color="auto" w:fill="auto"/>
            <w:vAlign w:val="center"/>
          </w:tcPr>
          <w:p w:rsidR="00F43A36" w:rsidRDefault="00F43A36">
            <w:pPr>
              <w:rPr>
                <w:rFonts w:ascii="Calibri" w:eastAsia="宋体" w:hAnsi="Calibri" w:cs="Calibri"/>
                <w:color w:val="000000"/>
                <w:szCs w:val="21"/>
              </w:rPr>
            </w:pPr>
          </w:p>
        </w:tc>
        <w:tc>
          <w:tcPr>
            <w:tcW w:w="1320" w:type="dxa"/>
            <w:shd w:val="clear" w:color="auto" w:fill="auto"/>
            <w:vAlign w:val="center"/>
          </w:tcPr>
          <w:p w:rsidR="00F43A36" w:rsidRDefault="00F43A36">
            <w:pPr>
              <w:rPr>
                <w:rFonts w:ascii="Calibri" w:eastAsia="宋体" w:hAnsi="Calibri" w:cs="Calibri"/>
                <w:color w:val="000000"/>
                <w:szCs w:val="21"/>
              </w:rPr>
            </w:pPr>
          </w:p>
        </w:tc>
        <w:tc>
          <w:tcPr>
            <w:tcW w:w="1320" w:type="dxa"/>
            <w:shd w:val="clear" w:color="auto" w:fill="auto"/>
            <w:vAlign w:val="center"/>
          </w:tcPr>
          <w:p w:rsidR="00F43A36" w:rsidRDefault="00F43A36">
            <w:pPr>
              <w:rPr>
                <w:rFonts w:ascii="Calibri" w:eastAsia="宋体" w:hAnsi="Calibri" w:cs="Calibri"/>
                <w:color w:val="000000"/>
                <w:szCs w:val="21"/>
              </w:rPr>
            </w:pPr>
          </w:p>
        </w:tc>
      </w:tr>
      <w:tr w:rsidR="00F43A36">
        <w:trPr>
          <w:trHeight w:val="316"/>
        </w:trPr>
        <w:tc>
          <w:tcPr>
            <w:tcW w:w="1320" w:type="dxa"/>
            <w:shd w:val="clear" w:color="auto" w:fill="auto"/>
            <w:vAlign w:val="center"/>
          </w:tcPr>
          <w:p w:rsidR="00F43A36" w:rsidRDefault="00F43A36">
            <w:pPr>
              <w:rPr>
                <w:rFonts w:ascii="Times New Roman" w:eastAsia="宋体" w:hAnsi="Times New Roman" w:cs="Times New Roman"/>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r>
      <w:tr w:rsidR="00F43A36">
        <w:trPr>
          <w:trHeight w:val="316"/>
        </w:trPr>
        <w:tc>
          <w:tcPr>
            <w:tcW w:w="1320" w:type="dxa"/>
            <w:shd w:val="clear" w:color="auto" w:fill="auto"/>
            <w:vAlign w:val="center"/>
          </w:tcPr>
          <w:p w:rsidR="00F43A36" w:rsidRDefault="00F43A36">
            <w:pPr>
              <w:rPr>
                <w:rFonts w:ascii="Times New Roman" w:eastAsia="宋体" w:hAnsi="Times New Roman" w:cs="Times New Roman"/>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r>
    </w:tbl>
    <w:p w:rsidR="00F43A36" w:rsidRDefault="00F43A36"/>
    <w:p w:rsidR="00F43A36" w:rsidRDefault="00F43A36"/>
    <w:p w:rsidR="00F43A36" w:rsidRDefault="00F43A36"/>
    <w:p w:rsidR="00F43A36" w:rsidRDefault="00F43A36"/>
    <w:p w:rsidR="00F43A36" w:rsidRDefault="00F43A36"/>
    <w:p w:rsidR="00F43A36" w:rsidRDefault="00F43A36"/>
    <w:p w:rsidR="00F43A36" w:rsidRDefault="00F43A36"/>
    <w:p w:rsidR="00F43A36" w:rsidRDefault="00F43A36"/>
    <w:tbl>
      <w:tblPr>
        <w:tblW w:w="18480" w:type="dxa"/>
        <w:tblLayout w:type="fixed"/>
        <w:tblCellMar>
          <w:top w:w="15" w:type="dxa"/>
          <w:left w:w="15" w:type="dxa"/>
          <w:bottom w:w="15" w:type="dxa"/>
          <w:right w:w="15" w:type="dxa"/>
        </w:tblCellMar>
        <w:tblLook w:val="04A0" w:firstRow="1" w:lastRow="0" w:firstColumn="1" w:lastColumn="0" w:noHBand="0" w:noVBand="1"/>
      </w:tblPr>
      <w:tblGrid>
        <w:gridCol w:w="1320"/>
        <w:gridCol w:w="1320"/>
        <w:gridCol w:w="1320"/>
        <w:gridCol w:w="1320"/>
        <w:gridCol w:w="1320"/>
        <w:gridCol w:w="1320"/>
        <w:gridCol w:w="1320"/>
        <w:gridCol w:w="1320"/>
        <w:gridCol w:w="1320"/>
        <w:gridCol w:w="1320"/>
        <w:gridCol w:w="1320"/>
        <w:gridCol w:w="1320"/>
        <w:gridCol w:w="1320"/>
        <w:gridCol w:w="1320"/>
      </w:tblGrid>
      <w:tr w:rsidR="00F43A36">
        <w:trPr>
          <w:trHeight w:val="286"/>
        </w:trPr>
        <w:tc>
          <w:tcPr>
            <w:tcW w:w="1320" w:type="dxa"/>
            <w:shd w:val="clear" w:color="auto" w:fill="auto"/>
            <w:vAlign w:val="center"/>
          </w:tcPr>
          <w:p w:rsidR="00F43A36" w:rsidRDefault="00061A8A">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附件6-2</w:t>
            </w: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r>
      <w:tr w:rsidR="00F43A36">
        <w:trPr>
          <w:trHeight w:val="450"/>
        </w:trPr>
        <w:tc>
          <w:tcPr>
            <w:tcW w:w="11880" w:type="dxa"/>
            <w:gridSpan w:val="9"/>
            <w:shd w:val="clear" w:color="auto" w:fill="auto"/>
            <w:vAlign w:val="center"/>
          </w:tcPr>
          <w:p w:rsidR="00F43A36" w:rsidRDefault="00061A8A">
            <w:pPr>
              <w:widowControl/>
              <w:jc w:val="center"/>
              <w:textAlignment w:val="center"/>
              <w:rPr>
                <w:rFonts w:ascii="华文中宋" w:eastAsia="华文中宋" w:hAnsi="华文中宋" w:cs="华文中宋"/>
                <w:b/>
                <w:color w:val="000000"/>
                <w:sz w:val="30"/>
                <w:szCs w:val="30"/>
              </w:rPr>
            </w:pPr>
            <w:r>
              <w:rPr>
                <w:rFonts w:ascii="华文中宋" w:eastAsia="华文中宋" w:hAnsi="华文中宋" w:cs="华文中宋" w:hint="eastAsia"/>
                <w:b/>
                <w:color w:val="000000"/>
                <w:kern w:val="0"/>
                <w:sz w:val="30"/>
                <w:szCs w:val="30"/>
                <w:lang w:bidi="ar"/>
              </w:rPr>
              <w:t>重庆农村商业银行非授信类关联交易审查申请表</w:t>
            </w:r>
          </w:p>
        </w:tc>
        <w:tc>
          <w:tcPr>
            <w:tcW w:w="1320" w:type="dxa"/>
            <w:shd w:val="clear" w:color="auto" w:fill="auto"/>
            <w:vAlign w:val="center"/>
          </w:tcPr>
          <w:p w:rsidR="00F43A36" w:rsidRDefault="00F43A36">
            <w:pPr>
              <w:rPr>
                <w:rFonts w:ascii="华文中宋" w:eastAsia="华文中宋" w:hAnsi="华文中宋" w:cs="华文中宋"/>
                <w:b/>
                <w:color w:val="000000"/>
                <w:sz w:val="30"/>
                <w:szCs w:val="30"/>
              </w:rPr>
            </w:pPr>
          </w:p>
        </w:tc>
        <w:tc>
          <w:tcPr>
            <w:tcW w:w="1320" w:type="dxa"/>
            <w:shd w:val="clear" w:color="auto" w:fill="auto"/>
            <w:vAlign w:val="center"/>
          </w:tcPr>
          <w:p w:rsidR="00F43A36" w:rsidRDefault="00F43A36">
            <w:pPr>
              <w:rPr>
                <w:rFonts w:ascii="华文中宋" w:eastAsia="华文中宋" w:hAnsi="华文中宋" w:cs="华文中宋"/>
                <w:b/>
                <w:color w:val="000000"/>
                <w:sz w:val="30"/>
                <w:szCs w:val="30"/>
              </w:rPr>
            </w:pPr>
          </w:p>
        </w:tc>
        <w:tc>
          <w:tcPr>
            <w:tcW w:w="1320" w:type="dxa"/>
            <w:shd w:val="clear" w:color="auto" w:fill="auto"/>
            <w:vAlign w:val="center"/>
          </w:tcPr>
          <w:p w:rsidR="00F43A36" w:rsidRDefault="00F43A36">
            <w:pPr>
              <w:rPr>
                <w:rFonts w:ascii="华文中宋" w:eastAsia="华文中宋" w:hAnsi="华文中宋" w:cs="华文中宋"/>
                <w:b/>
                <w:color w:val="000000"/>
                <w:sz w:val="30"/>
                <w:szCs w:val="30"/>
              </w:rPr>
            </w:pPr>
          </w:p>
        </w:tc>
        <w:tc>
          <w:tcPr>
            <w:tcW w:w="1320" w:type="dxa"/>
            <w:shd w:val="clear" w:color="auto" w:fill="auto"/>
            <w:vAlign w:val="center"/>
          </w:tcPr>
          <w:p w:rsidR="00F43A36" w:rsidRDefault="00F43A36">
            <w:pPr>
              <w:rPr>
                <w:rFonts w:ascii="华文中宋" w:eastAsia="华文中宋" w:hAnsi="华文中宋" w:cs="华文中宋"/>
                <w:b/>
                <w:color w:val="000000"/>
                <w:sz w:val="30"/>
                <w:szCs w:val="30"/>
              </w:rPr>
            </w:pPr>
          </w:p>
        </w:tc>
        <w:tc>
          <w:tcPr>
            <w:tcW w:w="1320" w:type="dxa"/>
            <w:shd w:val="clear" w:color="auto" w:fill="auto"/>
            <w:vAlign w:val="center"/>
          </w:tcPr>
          <w:p w:rsidR="00F43A36" w:rsidRDefault="00F43A36">
            <w:pPr>
              <w:rPr>
                <w:rFonts w:ascii="华文中宋" w:eastAsia="华文中宋" w:hAnsi="华文中宋" w:cs="华文中宋"/>
                <w:b/>
                <w:color w:val="000000"/>
                <w:sz w:val="30"/>
                <w:szCs w:val="30"/>
              </w:rPr>
            </w:pPr>
          </w:p>
        </w:tc>
      </w:tr>
      <w:tr w:rsidR="00F43A36">
        <w:trPr>
          <w:trHeight w:val="286"/>
        </w:trPr>
        <w:tc>
          <w:tcPr>
            <w:tcW w:w="13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061A8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申请机构/部门</w:t>
            </w:r>
          </w:p>
        </w:tc>
        <w:tc>
          <w:tcPr>
            <w:tcW w:w="7920" w:type="dxa"/>
            <w:gridSpan w:val="6"/>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3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061A8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报告日期</w:t>
            </w:r>
          </w:p>
        </w:tc>
        <w:tc>
          <w:tcPr>
            <w:tcW w:w="13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r>
      <w:tr w:rsidR="00F43A36">
        <w:trPr>
          <w:trHeight w:val="316"/>
        </w:trPr>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7920" w:type="dxa"/>
            <w:gridSpan w:val="6"/>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r>
      <w:tr w:rsidR="00F43A36">
        <w:trPr>
          <w:trHeight w:val="480"/>
        </w:trPr>
        <w:tc>
          <w:tcPr>
            <w:tcW w:w="13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061A8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申请关联交易信息</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061A8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申请交易关联方全称／姓名</w:t>
            </w:r>
          </w:p>
        </w:tc>
        <w:tc>
          <w:tcPr>
            <w:tcW w:w="3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061A8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关联关系</w:t>
            </w:r>
          </w:p>
        </w:tc>
        <w:tc>
          <w:tcPr>
            <w:tcW w:w="3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r>
      <w:tr w:rsidR="00F43A36">
        <w:trPr>
          <w:trHeight w:val="1020"/>
        </w:trPr>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061A8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申请交易关联方本次申请关联交易金额</w:t>
            </w:r>
          </w:p>
        </w:tc>
        <w:tc>
          <w:tcPr>
            <w:tcW w:w="924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r>
      <w:tr w:rsidR="00F43A36">
        <w:trPr>
          <w:trHeight w:val="286"/>
        </w:trPr>
        <w:tc>
          <w:tcPr>
            <w:tcW w:w="13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061A8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申请机构意见</w:t>
            </w:r>
          </w:p>
        </w:tc>
        <w:tc>
          <w:tcPr>
            <w:tcW w:w="10560" w:type="dxa"/>
            <w:gridSpan w:val="8"/>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F43A36" w:rsidRDefault="00061A8A">
            <w:pPr>
              <w:widowControl/>
              <w:jc w:val="center"/>
              <w:textAlignment w:val="bottom"/>
              <w:rPr>
                <w:rFonts w:ascii="Times New Roman" w:eastAsia="宋体" w:hAnsi="Times New Roman" w:cs="Times New Roman"/>
                <w:color w:val="000000"/>
                <w:sz w:val="20"/>
                <w:szCs w:val="20"/>
              </w:rPr>
            </w:pPr>
            <w:r>
              <w:rPr>
                <w:rStyle w:val="font11"/>
                <w:rFonts w:hint="default"/>
                <w:lang w:bidi="ar"/>
              </w:rPr>
              <w:t>经办人：</w:t>
            </w:r>
            <w:r>
              <w:rPr>
                <w:rStyle w:val="font01"/>
                <w:rFonts w:eastAsia="宋体"/>
                <w:lang w:bidi="ar"/>
              </w:rPr>
              <w:t xml:space="preserve">                             </w:t>
            </w:r>
            <w:r>
              <w:rPr>
                <w:rStyle w:val="font11"/>
                <w:rFonts w:hint="default"/>
                <w:lang w:bidi="ar"/>
              </w:rPr>
              <w:t>机构负责人：</w:t>
            </w:r>
            <w:r>
              <w:rPr>
                <w:rStyle w:val="font01"/>
                <w:rFonts w:eastAsia="宋体"/>
                <w:lang w:bidi="ar"/>
              </w:rPr>
              <w:t xml:space="preserve">                                                       </w:t>
            </w:r>
            <w:r>
              <w:rPr>
                <w:rStyle w:val="font11"/>
                <w:rFonts w:hint="default"/>
                <w:lang w:bidi="ar"/>
              </w:rPr>
              <w:t>日期：</w:t>
            </w:r>
            <w:r>
              <w:rPr>
                <w:rStyle w:val="font01"/>
                <w:rFonts w:eastAsia="宋体"/>
                <w:lang w:bidi="ar"/>
              </w:rPr>
              <w:t xml:space="preserve">                                                                                                                                                                     </w:t>
            </w: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r>
      <w:tr w:rsidR="00F43A36">
        <w:trPr>
          <w:trHeight w:val="286"/>
        </w:trPr>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0560" w:type="dxa"/>
            <w:gridSpan w:val="8"/>
            <w:vMerge/>
            <w:tcBorders>
              <w:top w:val="single" w:sz="4" w:space="0" w:color="000000"/>
              <w:left w:val="single" w:sz="4" w:space="0" w:color="000000"/>
              <w:bottom w:val="single" w:sz="4" w:space="0" w:color="000000"/>
              <w:right w:val="single" w:sz="4" w:space="0" w:color="000000"/>
            </w:tcBorders>
            <w:shd w:val="clear" w:color="auto" w:fill="auto"/>
            <w:vAlign w:val="bottom"/>
          </w:tcPr>
          <w:p w:rsidR="00F43A36" w:rsidRDefault="00F43A36">
            <w:pPr>
              <w:jc w:val="center"/>
              <w:rPr>
                <w:rFonts w:ascii="Times New Roman" w:eastAsia="宋体" w:hAnsi="Times New Roman" w:cs="Times New Roman"/>
                <w:color w:val="000000"/>
                <w:sz w:val="20"/>
                <w:szCs w:val="20"/>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r>
      <w:tr w:rsidR="00F43A36">
        <w:trPr>
          <w:trHeight w:val="286"/>
        </w:trPr>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0560" w:type="dxa"/>
            <w:gridSpan w:val="8"/>
            <w:vMerge/>
            <w:tcBorders>
              <w:top w:val="single" w:sz="4" w:space="0" w:color="000000"/>
              <w:left w:val="single" w:sz="4" w:space="0" w:color="000000"/>
              <w:bottom w:val="single" w:sz="4" w:space="0" w:color="000000"/>
              <w:right w:val="single" w:sz="4" w:space="0" w:color="000000"/>
            </w:tcBorders>
            <w:shd w:val="clear" w:color="auto" w:fill="auto"/>
            <w:vAlign w:val="bottom"/>
          </w:tcPr>
          <w:p w:rsidR="00F43A36" w:rsidRDefault="00F43A36">
            <w:pPr>
              <w:jc w:val="center"/>
              <w:rPr>
                <w:rFonts w:ascii="Times New Roman" w:eastAsia="宋体" w:hAnsi="Times New Roman" w:cs="Times New Roman"/>
                <w:color w:val="000000"/>
                <w:sz w:val="20"/>
                <w:szCs w:val="20"/>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r>
      <w:tr w:rsidR="00F43A36">
        <w:trPr>
          <w:trHeight w:val="286"/>
        </w:trPr>
        <w:tc>
          <w:tcPr>
            <w:tcW w:w="13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061A8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总行条线部门（如有）初审意见</w:t>
            </w:r>
          </w:p>
        </w:tc>
        <w:tc>
          <w:tcPr>
            <w:tcW w:w="10560" w:type="dxa"/>
            <w:gridSpan w:val="8"/>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F43A36" w:rsidRDefault="00061A8A">
            <w:pPr>
              <w:widowControl/>
              <w:jc w:val="center"/>
              <w:textAlignment w:val="bottom"/>
              <w:rPr>
                <w:rFonts w:ascii="Times New Roman" w:eastAsia="宋体" w:hAnsi="Times New Roman" w:cs="Times New Roman"/>
                <w:color w:val="000000"/>
                <w:sz w:val="20"/>
                <w:szCs w:val="20"/>
              </w:rPr>
            </w:pPr>
            <w:r>
              <w:rPr>
                <w:rStyle w:val="font11"/>
                <w:rFonts w:hint="default"/>
                <w:lang w:bidi="ar"/>
              </w:rPr>
              <w:t>经办人：</w:t>
            </w:r>
            <w:r>
              <w:rPr>
                <w:rStyle w:val="font01"/>
                <w:rFonts w:eastAsia="宋体"/>
                <w:lang w:bidi="ar"/>
              </w:rPr>
              <w:t xml:space="preserve">                            </w:t>
            </w:r>
            <w:r>
              <w:rPr>
                <w:rStyle w:val="font11"/>
                <w:rFonts w:hint="default"/>
                <w:lang w:bidi="ar"/>
              </w:rPr>
              <w:t>部门负责人：</w:t>
            </w:r>
            <w:r>
              <w:rPr>
                <w:rStyle w:val="font01"/>
                <w:rFonts w:eastAsia="宋体"/>
                <w:lang w:bidi="ar"/>
              </w:rPr>
              <w:t xml:space="preserve">                                                       </w:t>
            </w:r>
            <w:r>
              <w:rPr>
                <w:rStyle w:val="font11"/>
                <w:rFonts w:hint="default"/>
                <w:lang w:bidi="ar"/>
              </w:rPr>
              <w:t>日期：</w:t>
            </w:r>
            <w:r>
              <w:rPr>
                <w:rStyle w:val="font01"/>
                <w:rFonts w:eastAsia="宋体"/>
                <w:lang w:bidi="ar"/>
              </w:rPr>
              <w:t xml:space="preserve">                                                                                                                                                                 </w:t>
            </w: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r>
      <w:tr w:rsidR="00F43A36">
        <w:trPr>
          <w:trHeight w:val="286"/>
        </w:trPr>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0560" w:type="dxa"/>
            <w:gridSpan w:val="8"/>
            <w:vMerge/>
            <w:tcBorders>
              <w:top w:val="single" w:sz="4" w:space="0" w:color="000000"/>
              <w:left w:val="single" w:sz="4" w:space="0" w:color="000000"/>
              <w:bottom w:val="single" w:sz="4" w:space="0" w:color="000000"/>
              <w:right w:val="single" w:sz="4" w:space="0" w:color="000000"/>
            </w:tcBorders>
            <w:shd w:val="clear" w:color="auto" w:fill="auto"/>
            <w:vAlign w:val="bottom"/>
          </w:tcPr>
          <w:p w:rsidR="00F43A36" w:rsidRDefault="00F43A36">
            <w:pPr>
              <w:jc w:val="center"/>
              <w:rPr>
                <w:rFonts w:ascii="Times New Roman" w:eastAsia="宋体" w:hAnsi="Times New Roman" w:cs="Times New Roman"/>
                <w:color w:val="000000"/>
                <w:sz w:val="20"/>
                <w:szCs w:val="20"/>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r>
      <w:tr w:rsidR="00F43A36">
        <w:trPr>
          <w:trHeight w:val="316"/>
        </w:trPr>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0560" w:type="dxa"/>
            <w:gridSpan w:val="8"/>
            <w:vMerge/>
            <w:tcBorders>
              <w:top w:val="single" w:sz="4" w:space="0" w:color="000000"/>
              <w:left w:val="single" w:sz="4" w:space="0" w:color="000000"/>
              <w:bottom w:val="single" w:sz="4" w:space="0" w:color="000000"/>
              <w:right w:val="single" w:sz="4" w:space="0" w:color="000000"/>
            </w:tcBorders>
            <w:shd w:val="clear" w:color="auto" w:fill="auto"/>
            <w:vAlign w:val="bottom"/>
          </w:tcPr>
          <w:p w:rsidR="00F43A36" w:rsidRDefault="00F43A36">
            <w:pPr>
              <w:jc w:val="center"/>
              <w:rPr>
                <w:rFonts w:ascii="Times New Roman" w:eastAsia="宋体" w:hAnsi="Times New Roman" w:cs="Times New Roman"/>
                <w:color w:val="000000"/>
                <w:sz w:val="20"/>
                <w:szCs w:val="20"/>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r>
      <w:tr w:rsidR="00F43A36">
        <w:trPr>
          <w:trHeight w:val="1200"/>
        </w:trPr>
        <w:tc>
          <w:tcPr>
            <w:tcW w:w="13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061A8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总行董事会办公室意见</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061A8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本次交易通过后，本行与该关联方交易总额 ①</w:t>
            </w:r>
          </w:p>
        </w:tc>
        <w:tc>
          <w:tcPr>
            <w:tcW w:w="924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r>
      <w:tr w:rsidR="00F43A36">
        <w:trPr>
          <w:trHeight w:val="480"/>
        </w:trPr>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3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061A8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申请交易方为自然人的，其近亲属在本行</w:t>
            </w:r>
            <w:r>
              <w:rPr>
                <w:rFonts w:ascii="宋体" w:eastAsia="宋体" w:hAnsi="宋体" w:cs="宋体" w:hint="eastAsia"/>
                <w:color w:val="000000"/>
                <w:kern w:val="0"/>
                <w:sz w:val="20"/>
                <w:szCs w:val="20"/>
                <w:lang w:bidi="ar"/>
              </w:rPr>
              <w:lastRenderedPageBreak/>
              <w:t>的当前关联交易金额</w:t>
            </w:r>
          </w:p>
        </w:tc>
        <w:tc>
          <w:tcPr>
            <w:tcW w:w="3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061A8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近亲属姓名</w:t>
            </w:r>
          </w:p>
        </w:tc>
        <w:tc>
          <w:tcPr>
            <w:tcW w:w="26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061A8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身份证件 /护照号码</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061A8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交易类型</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061A8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在本行当前交易金额</w:t>
            </w: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r>
      <w:tr w:rsidR="00F43A36">
        <w:trPr>
          <w:trHeight w:val="316"/>
        </w:trPr>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3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26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rPr>
                <w:rFonts w:ascii="宋体" w:eastAsia="宋体" w:hAnsi="宋体" w:cs="宋体"/>
                <w:color w:val="000000"/>
                <w:sz w:val="20"/>
                <w:szCs w:val="20"/>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r>
      <w:tr w:rsidR="00F43A36">
        <w:trPr>
          <w:trHeight w:val="316"/>
        </w:trPr>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3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26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rPr>
                <w:rFonts w:ascii="宋体" w:eastAsia="宋体" w:hAnsi="宋体" w:cs="宋体"/>
                <w:color w:val="000000"/>
                <w:sz w:val="20"/>
                <w:szCs w:val="20"/>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r>
      <w:tr w:rsidR="00F43A36">
        <w:trPr>
          <w:trHeight w:val="316"/>
        </w:trPr>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3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061A8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小计 ②</w:t>
            </w:r>
          </w:p>
        </w:tc>
        <w:tc>
          <w:tcPr>
            <w:tcW w:w="26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rPr>
                <w:rFonts w:ascii="宋体" w:eastAsia="宋体" w:hAnsi="宋体" w:cs="宋体"/>
                <w:color w:val="000000"/>
                <w:sz w:val="20"/>
                <w:szCs w:val="20"/>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r>
      <w:tr w:rsidR="00F43A36">
        <w:trPr>
          <w:trHeight w:val="600"/>
        </w:trPr>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3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061A8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申请交易方为法人或其他组织的，与其关联的其他法人或组织在本行的当前关联交易金额</w:t>
            </w:r>
          </w:p>
        </w:tc>
        <w:tc>
          <w:tcPr>
            <w:tcW w:w="3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061A8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姓名/机构全称</w:t>
            </w:r>
          </w:p>
        </w:tc>
        <w:tc>
          <w:tcPr>
            <w:tcW w:w="26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061A8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与交易方的关系</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061A8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交易类型</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061A8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在本行当前交易金额</w:t>
            </w: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r>
      <w:tr w:rsidR="00F43A36">
        <w:trPr>
          <w:trHeight w:val="330"/>
        </w:trPr>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3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26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rPr>
                <w:rFonts w:ascii="宋体" w:eastAsia="宋体" w:hAnsi="宋体" w:cs="宋体"/>
                <w:color w:val="000000"/>
                <w:sz w:val="20"/>
                <w:szCs w:val="20"/>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rPr>
                <w:rFonts w:ascii="宋体" w:eastAsia="宋体" w:hAnsi="宋体" w:cs="宋体"/>
                <w:color w:val="000000"/>
                <w:sz w:val="20"/>
                <w:szCs w:val="20"/>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r>
      <w:tr w:rsidR="00F43A36">
        <w:trPr>
          <w:trHeight w:val="330"/>
        </w:trPr>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3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26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rPr>
                <w:rFonts w:ascii="宋体" w:eastAsia="宋体" w:hAnsi="宋体" w:cs="宋体"/>
                <w:color w:val="000000"/>
                <w:sz w:val="20"/>
                <w:szCs w:val="20"/>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rPr>
                <w:rFonts w:ascii="宋体" w:eastAsia="宋体" w:hAnsi="宋体" w:cs="宋体"/>
                <w:color w:val="000000"/>
                <w:sz w:val="20"/>
                <w:szCs w:val="20"/>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r>
      <w:tr w:rsidR="00F43A36">
        <w:trPr>
          <w:trHeight w:val="316"/>
        </w:trPr>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3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26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rPr>
                <w:rFonts w:ascii="宋体" w:eastAsia="宋体" w:hAnsi="宋体" w:cs="宋体"/>
                <w:color w:val="000000"/>
                <w:sz w:val="20"/>
                <w:szCs w:val="20"/>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rPr>
                <w:rFonts w:ascii="宋体" w:eastAsia="宋体" w:hAnsi="宋体" w:cs="宋体"/>
                <w:color w:val="000000"/>
                <w:sz w:val="20"/>
                <w:szCs w:val="20"/>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r>
      <w:tr w:rsidR="00F43A36">
        <w:trPr>
          <w:trHeight w:val="330"/>
        </w:trPr>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3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061A8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小计③</w:t>
            </w:r>
          </w:p>
        </w:tc>
        <w:tc>
          <w:tcPr>
            <w:tcW w:w="26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rPr>
                <w:rFonts w:ascii="宋体" w:eastAsia="宋体" w:hAnsi="宋体" w:cs="宋体"/>
                <w:color w:val="000000"/>
                <w:sz w:val="20"/>
                <w:szCs w:val="20"/>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rPr>
                <w:rFonts w:ascii="宋体" w:eastAsia="宋体" w:hAnsi="宋体" w:cs="宋体"/>
                <w:color w:val="000000"/>
                <w:sz w:val="20"/>
                <w:szCs w:val="20"/>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r>
      <w:tr w:rsidR="00F43A36">
        <w:trPr>
          <w:trHeight w:val="480"/>
        </w:trPr>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3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061A8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上证口径下过去12个月除本次交易外，同一关联人在本行的未披露的交易金额</w:t>
            </w:r>
          </w:p>
        </w:tc>
        <w:tc>
          <w:tcPr>
            <w:tcW w:w="3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061A8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姓名/机构全称</w:t>
            </w:r>
          </w:p>
        </w:tc>
        <w:tc>
          <w:tcPr>
            <w:tcW w:w="3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061A8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与交易方的关系</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061A8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在本行当前交易金额</w:t>
            </w: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r>
      <w:tr w:rsidR="00F43A36">
        <w:trPr>
          <w:trHeight w:val="301"/>
        </w:trPr>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3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3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r>
      <w:tr w:rsidR="00F43A36">
        <w:trPr>
          <w:trHeight w:val="301"/>
        </w:trPr>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3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3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r>
      <w:tr w:rsidR="00F43A36">
        <w:trPr>
          <w:trHeight w:val="301"/>
        </w:trPr>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3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3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r>
      <w:tr w:rsidR="00F43A36">
        <w:trPr>
          <w:trHeight w:val="301"/>
        </w:trPr>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3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3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r>
      <w:tr w:rsidR="00F43A36">
        <w:trPr>
          <w:trHeight w:val="301"/>
        </w:trPr>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3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061A8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小计④</w:t>
            </w:r>
          </w:p>
        </w:tc>
        <w:tc>
          <w:tcPr>
            <w:tcW w:w="3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r>
      <w:tr w:rsidR="00F43A36">
        <w:trPr>
          <w:trHeight w:val="720"/>
        </w:trPr>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3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061A8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若本次申请获得批准，申请交易关联方与其近亲属在本行的关联交易总额度 ⑤=①+②</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rPr>
                <w:rFonts w:ascii="宋体" w:eastAsia="宋体" w:hAnsi="宋体" w:cs="宋体"/>
                <w:color w:val="000000"/>
                <w:sz w:val="20"/>
                <w:szCs w:val="20"/>
              </w:rPr>
            </w:pPr>
          </w:p>
        </w:tc>
        <w:tc>
          <w:tcPr>
            <w:tcW w:w="13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061A8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上季末资本净额</w:t>
            </w:r>
          </w:p>
        </w:tc>
        <w:tc>
          <w:tcPr>
            <w:tcW w:w="13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3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061A8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占本行上季末资本净额比例%</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rPr>
                <w:rFonts w:ascii="宋体" w:eastAsia="宋体" w:hAnsi="宋体" w:cs="宋体"/>
                <w:color w:val="000000"/>
                <w:sz w:val="20"/>
                <w:szCs w:val="20"/>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r>
      <w:tr w:rsidR="00F43A36">
        <w:trPr>
          <w:trHeight w:val="735"/>
        </w:trPr>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3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061A8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若本次申请获得批准，申请交易关联方与其关联的法人或组织在本行的关联交易总额度 ⑥=①+③</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rPr>
                <w:rFonts w:ascii="宋体" w:eastAsia="宋体" w:hAnsi="宋体" w:cs="宋体"/>
                <w:color w:val="000000"/>
                <w:sz w:val="20"/>
                <w:szCs w:val="20"/>
              </w:rPr>
            </w:pPr>
          </w:p>
        </w:tc>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rPr>
                <w:rFonts w:ascii="宋体" w:eastAsia="宋体" w:hAnsi="宋体" w:cs="宋体"/>
                <w:color w:val="000000"/>
                <w:sz w:val="20"/>
                <w:szCs w:val="20"/>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r>
      <w:tr w:rsidR="00F43A36">
        <w:trPr>
          <w:trHeight w:val="735"/>
        </w:trPr>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3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061A8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若本次申请获得批准，上证口径下过去12个月同一关联人在本行的未披露的交易金额⑦=①+④</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rPr>
                <w:rFonts w:ascii="宋体" w:eastAsia="宋体" w:hAnsi="宋体" w:cs="宋体"/>
                <w:color w:val="000000"/>
                <w:sz w:val="20"/>
                <w:szCs w:val="20"/>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061A8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最近一期经审计净资产</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061A8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占最近一期经审计净资产比例%</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rPr>
                <w:rFonts w:ascii="宋体" w:eastAsia="宋体" w:hAnsi="宋体" w:cs="宋体"/>
                <w:color w:val="000000"/>
                <w:sz w:val="20"/>
                <w:szCs w:val="20"/>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r>
      <w:tr w:rsidR="00F43A36">
        <w:trPr>
          <w:trHeight w:val="286"/>
        </w:trPr>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396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061A8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初步认定本次申请的关联交易类型（在相应括号内打√）</w:t>
            </w:r>
          </w:p>
        </w:tc>
        <w:tc>
          <w:tcPr>
            <w:tcW w:w="660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061A8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）一般关联交易 （）重大关联交易</w:t>
            </w: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r>
      <w:tr w:rsidR="00F43A36">
        <w:trPr>
          <w:trHeight w:val="870"/>
        </w:trPr>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396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660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061A8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）及时披露 （ ）提董事会并及时披露 （ ）提股东大会并及时披露    （ ）其他</w:t>
            </w: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r>
      <w:tr w:rsidR="00F43A36">
        <w:trPr>
          <w:trHeight w:val="316"/>
        </w:trPr>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3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061A8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审查意见</w:t>
            </w:r>
            <w:r>
              <w:rPr>
                <w:rStyle w:val="font11"/>
                <w:rFonts w:hint="default"/>
                <w:lang w:bidi="ar"/>
              </w:rPr>
              <w:t xml:space="preserve">                                                                                                                                                                </w:t>
            </w:r>
          </w:p>
        </w:tc>
        <w:tc>
          <w:tcPr>
            <w:tcW w:w="9240" w:type="dxa"/>
            <w:gridSpan w:val="7"/>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F43A36" w:rsidRDefault="00061A8A">
            <w:pPr>
              <w:widowControl/>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经办人：             部门负责人：                  日期：      </w:t>
            </w: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r>
      <w:tr w:rsidR="00F43A36">
        <w:trPr>
          <w:trHeight w:val="316"/>
        </w:trPr>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9240" w:type="dxa"/>
            <w:gridSpan w:val="7"/>
            <w:vMerge/>
            <w:tcBorders>
              <w:top w:val="single" w:sz="4" w:space="0" w:color="000000"/>
              <w:left w:val="single" w:sz="4" w:space="0" w:color="000000"/>
              <w:bottom w:val="single" w:sz="4" w:space="0" w:color="000000"/>
              <w:right w:val="single" w:sz="4" w:space="0" w:color="000000"/>
            </w:tcBorders>
            <w:shd w:val="clear" w:color="auto" w:fill="auto"/>
            <w:vAlign w:val="bottom"/>
          </w:tcPr>
          <w:p w:rsidR="00F43A36" w:rsidRDefault="00F43A36">
            <w:pPr>
              <w:jc w:val="center"/>
              <w:rPr>
                <w:rFonts w:ascii="宋体" w:eastAsia="宋体" w:hAnsi="宋体" w:cs="宋体"/>
                <w:color w:val="000000"/>
                <w:sz w:val="20"/>
                <w:szCs w:val="20"/>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r>
      <w:tr w:rsidR="00F43A36">
        <w:trPr>
          <w:trHeight w:val="316"/>
        </w:trPr>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3A36" w:rsidRDefault="00F43A36">
            <w:pPr>
              <w:jc w:val="center"/>
              <w:rPr>
                <w:rFonts w:ascii="宋体" w:eastAsia="宋体" w:hAnsi="宋体" w:cs="宋体"/>
                <w:color w:val="000000"/>
                <w:sz w:val="20"/>
                <w:szCs w:val="20"/>
              </w:rPr>
            </w:pPr>
          </w:p>
        </w:tc>
        <w:tc>
          <w:tcPr>
            <w:tcW w:w="9240" w:type="dxa"/>
            <w:gridSpan w:val="7"/>
            <w:vMerge/>
            <w:tcBorders>
              <w:top w:val="single" w:sz="4" w:space="0" w:color="000000"/>
              <w:left w:val="single" w:sz="4" w:space="0" w:color="000000"/>
              <w:bottom w:val="single" w:sz="4" w:space="0" w:color="000000"/>
              <w:right w:val="single" w:sz="4" w:space="0" w:color="000000"/>
            </w:tcBorders>
            <w:shd w:val="clear" w:color="auto" w:fill="auto"/>
            <w:vAlign w:val="bottom"/>
          </w:tcPr>
          <w:p w:rsidR="00F43A36" w:rsidRDefault="00F43A36">
            <w:pPr>
              <w:jc w:val="center"/>
              <w:rPr>
                <w:rFonts w:ascii="宋体" w:eastAsia="宋体" w:hAnsi="宋体" w:cs="宋体"/>
                <w:color w:val="000000"/>
                <w:sz w:val="20"/>
                <w:szCs w:val="20"/>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c>
          <w:tcPr>
            <w:tcW w:w="1320" w:type="dxa"/>
            <w:shd w:val="clear" w:color="auto" w:fill="auto"/>
            <w:vAlign w:val="center"/>
          </w:tcPr>
          <w:p w:rsidR="00F43A36" w:rsidRDefault="00F43A36">
            <w:pPr>
              <w:rPr>
                <w:rFonts w:ascii="宋体" w:eastAsia="宋体" w:hAnsi="宋体" w:cs="宋体"/>
                <w:color w:val="000000"/>
                <w:sz w:val="24"/>
                <w:szCs w:val="24"/>
              </w:rPr>
            </w:pPr>
          </w:p>
        </w:tc>
      </w:tr>
    </w:tbl>
    <w:p w:rsidR="00F43A36" w:rsidRDefault="00F43A36">
      <w:pPr>
        <w:rPr>
          <w:rFonts w:hint="eastAsia"/>
        </w:rPr>
      </w:pPr>
      <w:bookmarkStart w:id="49" w:name="_GoBack"/>
      <w:bookmarkEnd w:id="49"/>
    </w:p>
    <w:sectPr w:rsidR="00F43A36">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16CE" w:rsidRDefault="00C816CE">
      <w:r>
        <w:separator/>
      </w:r>
    </w:p>
  </w:endnote>
  <w:endnote w:type="continuationSeparator" w:id="0">
    <w:p w:rsidR="00C816CE" w:rsidRDefault="00C81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_GB2312">
    <w:altName w:val="仿宋"/>
    <w:charset w:val="86"/>
    <w:family w:val="modern"/>
    <w:pitch w:val="default"/>
    <w:sig w:usb0="00000000" w:usb1="0000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细黑">
    <w:altName w:val="微软雅黑"/>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icrosoft YaHei UI">
    <w:panose1 w:val="020B0503020204020204"/>
    <w:charset w:val="86"/>
    <w:family w:val="swiss"/>
    <w:pitch w:val="variable"/>
    <w:sig w:usb0="80000287" w:usb1="28CF3C52" w:usb2="00000016" w:usb3="00000000" w:csb0="0004001F" w:csb1="00000000"/>
  </w:font>
  <w:font w:name="华文仿宋">
    <w:altName w:val="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等线">
    <w:altName w:val="宋体"/>
    <w:charset w:val="86"/>
    <w:family w:val="auto"/>
    <w:pitch w:val="default"/>
    <w:sig w:usb0="00000000" w:usb1="00000000" w:usb2="00000016" w:usb3="00000000" w:csb0="0004000F" w:csb1="00000000"/>
  </w:font>
  <w:font w:name="华文中宋">
    <w:altName w:val="宋体"/>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9661942"/>
    </w:sdtPr>
    <w:sdtEndPr/>
    <w:sdtContent>
      <w:p w:rsidR="00F43A36" w:rsidRDefault="00061A8A">
        <w:pPr>
          <w:pStyle w:val="a3"/>
          <w:jc w:val="center"/>
        </w:pPr>
        <w:r>
          <w:fldChar w:fldCharType="begin"/>
        </w:r>
        <w:r>
          <w:instrText>PAGE   \* MERGEFORMAT</w:instrText>
        </w:r>
        <w:r>
          <w:fldChar w:fldCharType="separate"/>
        </w:r>
        <w:r w:rsidR="00DD1FD6" w:rsidRPr="00DD1FD6">
          <w:rPr>
            <w:noProof/>
            <w:lang w:val="zh-CN"/>
          </w:rPr>
          <w:t>74</w:t>
        </w:r>
        <w:r>
          <w:fldChar w:fldCharType="end"/>
        </w:r>
      </w:p>
    </w:sdtContent>
  </w:sdt>
  <w:p w:rsidR="00F43A36" w:rsidRDefault="00F43A3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16CE" w:rsidRDefault="00C816CE">
      <w:r>
        <w:separator/>
      </w:r>
    </w:p>
  </w:footnote>
  <w:footnote w:type="continuationSeparator" w:id="0">
    <w:p w:rsidR="00C816CE" w:rsidRDefault="00C816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BC0C8E"/>
    <w:multiLevelType w:val="multilevel"/>
    <w:tmpl w:val="1CBC0C8E"/>
    <w:lvl w:ilvl="0">
      <w:start w:val="1"/>
      <w:numFmt w:val="chineseCountingThousand"/>
      <w:pStyle w:val="1"/>
      <w:suff w:val="space"/>
      <w:lvlText w:val="第%1章"/>
      <w:lvlJc w:val="left"/>
      <w:pPr>
        <w:ind w:left="170" w:hanging="170"/>
      </w:pPr>
      <w:rPr>
        <w:rFonts w:ascii="仿宋_GB2312" w:eastAsia="仿宋_GB2312" w:hAnsi="宋体" w:hint="eastAsia"/>
        <w:b/>
        <w:i w:val="0"/>
        <w:caps w:val="0"/>
        <w:strike w:val="0"/>
        <w:dstrike w:val="0"/>
        <w:outline w:val="0"/>
        <w:shadow w:val="0"/>
        <w:emboss w:val="0"/>
        <w:imprint w:val="0"/>
        <w:snapToGrid w:val="0"/>
        <w:vanish w:val="0"/>
        <w:color w:val="auto"/>
        <w:spacing w:val="0"/>
        <w:w w:val="100"/>
        <w:kern w:val="0"/>
        <w:position w:val="0"/>
        <w:sz w:val="30"/>
        <w:szCs w:val="30"/>
        <w:u w:val="none"/>
        <w:vertAlign w:val="baseline"/>
        <w:em w:val="none"/>
      </w:rPr>
    </w:lvl>
    <w:lvl w:ilvl="1">
      <w:start w:val="1"/>
      <w:numFmt w:val="none"/>
      <w:pStyle w:val="2"/>
      <w:suff w:val="nothing"/>
      <w:lvlText w:val=""/>
      <w:lvlJc w:val="left"/>
      <w:pPr>
        <w:ind w:left="0" w:firstLine="0"/>
      </w:pPr>
      <w:rPr>
        <w:rFonts w:hint="eastAsia"/>
      </w:rPr>
    </w:lvl>
    <w:lvl w:ilvl="2">
      <w:start w:val="1"/>
      <w:numFmt w:val="none"/>
      <w:pStyle w:val="3"/>
      <w:suff w:val="nothing"/>
      <w:lvlText w:val=""/>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15:restartNumberingAfterBreak="0">
    <w:nsid w:val="38374970"/>
    <w:multiLevelType w:val="multilevel"/>
    <w:tmpl w:val="38374970"/>
    <w:lvl w:ilvl="0">
      <w:start w:val="1"/>
      <w:numFmt w:val="chineseCountingThousand"/>
      <w:lvlText w:val="第%1章"/>
      <w:lvlJc w:val="left"/>
      <w:pPr>
        <w:tabs>
          <w:tab w:val="num" w:pos="1155"/>
        </w:tabs>
        <w:ind w:left="1155" w:hanging="1155"/>
      </w:pPr>
      <w:rPr>
        <w:rFonts w:eastAsia="仿宋_GB2312" w:hint="eastAsia"/>
        <w:b/>
        <w:i w:val="0"/>
        <w:sz w:val="30"/>
        <w:szCs w:val="30"/>
        <w:lang w:val="en-US"/>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japaneseCounting"/>
      <w:lvlText w:val="第%4条"/>
      <w:lvlJc w:val="left"/>
      <w:pPr>
        <w:tabs>
          <w:tab w:val="num" w:pos="2340"/>
        </w:tabs>
        <w:ind w:left="2340" w:hanging="1080"/>
      </w:pPr>
      <w:rPr>
        <w:rFonts w:hint="default"/>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2" w15:restartNumberingAfterBreak="0">
    <w:nsid w:val="43427E21"/>
    <w:multiLevelType w:val="multilevel"/>
    <w:tmpl w:val="43427E21"/>
    <w:lvl w:ilvl="0">
      <w:start w:val="1"/>
      <w:numFmt w:val="chineseCountingThousand"/>
      <w:lvlText w:val="（%1）"/>
      <w:lvlJc w:val="left"/>
      <w:pPr>
        <w:tabs>
          <w:tab w:val="num" w:pos="1701"/>
        </w:tabs>
        <w:ind w:left="0" w:firstLine="737"/>
      </w:pPr>
      <w:rPr>
        <w:rFonts w:hint="eastAsia"/>
        <w:b w:val="0"/>
        <w:i w:val="0"/>
        <w:color w:val="auto"/>
        <w:sz w:val="30"/>
        <w:szCs w:val="30"/>
      </w:rPr>
    </w:lvl>
    <w:lvl w:ilvl="1">
      <w:start w:val="1"/>
      <w:numFmt w:val="japaneseCounting"/>
      <w:lvlText w:val="（%2）"/>
      <w:lvlJc w:val="left"/>
      <w:pPr>
        <w:tabs>
          <w:tab w:val="num" w:pos="1920"/>
        </w:tabs>
        <w:ind w:left="1920" w:hanging="150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4EB40AFD"/>
    <w:multiLevelType w:val="multilevel"/>
    <w:tmpl w:val="4EB40AFD"/>
    <w:lvl w:ilvl="0">
      <w:start w:val="1"/>
      <w:numFmt w:val="chineseCountingThousand"/>
      <w:lvlText w:val="第%1条"/>
      <w:lvlJc w:val="left"/>
      <w:pPr>
        <w:tabs>
          <w:tab w:val="num" w:pos="4224"/>
        </w:tabs>
        <w:ind w:left="2353" w:firstLine="624"/>
      </w:pPr>
      <w:rPr>
        <w:rFonts w:ascii="仿宋_GB2312" w:eastAsia="仿宋_GB2312" w:hAnsi="华文细黑" w:hint="eastAsia"/>
        <w:b/>
        <w:i w:val="0"/>
        <w:color w:val="auto"/>
        <w:sz w:val="30"/>
        <w:szCs w:val="30"/>
        <w:lang w:val="en-US"/>
      </w:rPr>
    </w:lvl>
    <w:lvl w:ilvl="1">
      <w:start w:val="1"/>
      <w:numFmt w:val="lowerLetter"/>
      <w:lvlText w:val="%2)"/>
      <w:lvlJc w:val="left"/>
      <w:pPr>
        <w:tabs>
          <w:tab w:val="num" w:pos="2257"/>
        </w:tabs>
        <w:ind w:left="2257" w:hanging="420"/>
      </w:pPr>
    </w:lvl>
    <w:lvl w:ilvl="2">
      <w:start w:val="1"/>
      <w:numFmt w:val="lowerRoman"/>
      <w:lvlText w:val="%3."/>
      <w:lvlJc w:val="right"/>
      <w:pPr>
        <w:tabs>
          <w:tab w:val="num" w:pos="2677"/>
        </w:tabs>
        <w:ind w:left="2677" w:hanging="420"/>
      </w:pPr>
    </w:lvl>
    <w:lvl w:ilvl="3">
      <w:start w:val="1"/>
      <w:numFmt w:val="decimal"/>
      <w:lvlText w:val="%4."/>
      <w:lvlJc w:val="left"/>
      <w:pPr>
        <w:tabs>
          <w:tab w:val="num" w:pos="3097"/>
        </w:tabs>
        <w:ind w:left="3097" w:hanging="420"/>
      </w:pPr>
    </w:lvl>
    <w:lvl w:ilvl="4">
      <w:start w:val="1"/>
      <w:numFmt w:val="lowerLetter"/>
      <w:lvlText w:val="%5)"/>
      <w:lvlJc w:val="left"/>
      <w:pPr>
        <w:tabs>
          <w:tab w:val="num" w:pos="3517"/>
        </w:tabs>
        <w:ind w:left="3517" w:hanging="420"/>
      </w:pPr>
    </w:lvl>
    <w:lvl w:ilvl="5">
      <w:start w:val="1"/>
      <w:numFmt w:val="lowerRoman"/>
      <w:lvlText w:val="%6."/>
      <w:lvlJc w:val="right"/>
      <w:pPr>
        <w:tabs>
          <w:tab w:val="num" w:pos="3937"/>
        </w:tabs>
        <w:ind w:left="3937" w:hanging="420"/>
      </w:pPr>
    </w:lvl>
    <w:lvl w:ilvl="6">
      <w:start w:val="1"/>
      <w:numFmt w:val="decimal"/>
      <w:lvlText w:val="%7."/>
      <w:lvlJc w:val="left"/>
      <w:pPr>
        <w:tabs>
          <w:tab w:val="num" w:pos="4357"/>
        </w:tabs>
        <w:ind w:left="4357" w:hanging="420"/>
      </w:pPr>
    </w:lvl>
    <w:lvl w:ilvl="7">
      <w:start w:val="1"/>
      <w:numFmt w:val="lowerLetter"/>
      <w:lvlText w:val="%8)"/>
      <w:lvlJc w:val="left"/>
      <w:pPr>
        <w:tabs>
          <w:tab w:val="num" w:pos="4777"/>
        </w:tabs>
        <w:ind w:left="4777" w:hanging="420"/>
      </w:pPr>
    </w:lvl>
    <w:lvl w:ilvl="8">
      <w:start w:val="1"/>
      <w:numFmt w:val="lowerRoman"/>
      <w:lvlText w:val="%9."/>
      <w:lvlJc w:val="right"/>
      <w:pPr>
        <w:tabs>
          <w:tab w:val="num" w:pos="5197"/>
        </w:tabs>
        <w:ind w:left="5197"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A36"/>
    <w:rsid w:val="00061A8A"/>
    <w:rsid w:val="005C402C"/>
    <w:rsid w:val="00C816CE"/>
    <w:rsid w:val="00DD1FD6"/>
    <w:rsid w:val="00F43A36"/>
    <w:rsid w:val="26E812B6"/>
    <w:rsid w:val="476E24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3431F11-975F-4926-BB20-4607921AB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5C402C"/>
    <w:pPr>
      <w:keepNext/>
      <w:widowControl/>
      <w:numPr>
        <w:numId w:val="1"/>
      </w:numPr>
      <w:spacing w:after="240" w:line="240" w:lineRule="atLeast"/>
      <w:jc w:val="left"/>
      <w:outlineLvl w:val="0"/>
    </w:pPr>
    <w:rPr>
      <w:rFonts w:ascii="Arial" w:eastAsia="宋体" w:hAnsi="Arial" w:cs="Times New Roman"/>
      <w:b/>
      <w:spacing w:val="-5"/>
      <w:kern w:val="0"/>
      <w:sz w:val="40"/>
      <w:szCs w:val="20"/>
      <w:lang w:eastAsia="en-US"/>
    </w:rPr>
  </w:style>
  <w:style w:type="paragraph" w:styleId="2">
    <w:name w:val="heading 2"/>
    <w:basedOn w:val="a"/>
    <w:next w:val="a"/>
    <w:link w:val="2Char"/>
    <w:qFormat/>
    <w:rsid w:val="005C402C"/>
    <w:pPr>
      <w:keepNext/>
      <w:widowControl/>
      <w:numPr>
        <w:ilvl w:val="1"/>
        <w:numId w:val="1"/>
      </w:numPr>
      <w:spacing w:before="240" w:after="240" w:line="240" w:lineRule="atLeast"/>
      <w:jc w:val="left"/>
      <w:outlineLvl w:val="1"/>
    </w:pPr>
    <w:rPr>
      <w:rFonts w:ascii="Arial" w:eastAsia="宋体" w:hAnsi="Arial" w:cs="Times New Roman"/>
      <w:b/>
      <w:spacing w:val="-5"/>
      <w:kern w:val="0"/>
      <w:sz w:val="32"/>
      <w:szCs w:val="20"/>
      <w:lang w:eastAsia="en-US"/>
    </w:rPr>
  </w:style>
  <w:style w:type="paragraph" w:styleId="3">
    <w:name w:val="heading 3"/>
    <w:basedOn w:val="2"/>
    <w:next w:val="a"/>
    <w:link w:val="3Char"/>
    <w:qFormat/>
    <w:rsid w:val="005C402C"/>
    <w:pPr>
      <w:numPr>
        <w:ilvl w:val="2"/>
      </w:numPr>
      <w:outlineLvl w:val="2"/>
    </w:pPr>
    <w:rPr>
      <w:i/>
      <w:sz w:val="24"/>
    </w:rPr>
  </w:style>
  <w:style w:type="paragraph" w:styleId="4">
    <w:name w:val="heading 4"/>
    <w:basedOn w:val="3"/>
    <w:next w:val="a"/>
    <w:link w:val="4Char"/>
    <w:qFormat/>
    <w:rsid w:val="005C402C"/>
    <w:pPr>
      <w:numPr>
        <w:ilvl w:val="3"/>
      </w:numPr>
      <w:spacing w:after="60"/>
      <w:outlineLvl w:val="3"/>
    </w:pPr>
    <w:rPr>
      <w:rFonts w:ascii="Times New Roman" w:hAnsi="Times New Roman"/>
    </w:rPr>
  </w:style>
  <w:style w:type="paragraph" w:styleId="5">
    <w:name w:val="heading 5"/>
    <w:basedOn w:val="a"/>
    <w:next w:val="a"/>
    <w:link w:val="5Char"/>
    <w:qFormat/>
    <w:rsid w:val="005C402C"/>
    <w:pPr>
      <w:widowControl/>
      <w:numPr>
        <w:ilvl w:val="4"/>
        <w:numId w:val="1"/>
      </w:numPr>
      <w:spacing w:before="240" w:after="60" w:line="240" w:lineRule="atLeast"/>
      <w:jc w:val="left"/>
      <w:outlineLvl w:val="4"/>
    </w:pPr>
    <w:rPr>
      <w:rFonts w:ascii="Arial" w:eastAsia="宋体" w:hAnsi="Arial" w:cs="Times New Roman"/>
      <w:spacing w:val="-5"/>
      <w:kern w:val="0"/>
      <w:sz w:val="22"/>
      <w:szCs w:val="20"/>
      <w:lang w:eastAsia="en-US"/>
    </w:rPr>
  </w:style>
  <w:style w:type="paragraph" w:styleId="6">
    <w:name w:val="heading 6"/>
    <w:basedOn w:val="a"/>
    <w:next w:val="a"/>
    <w:link w:val="6Char"/>
    <w:qFormat/>
    <w:rsid w:val="005C402C"/>
    <w:pPr>
      <w:widowControl/>
      <w:numPr>
        <w:ilvl w:val="5"/>
        <w:numId w:val="1"/>
      </w:numPr>
      <w:spacing w:before="240" w:after="60" w:line="240" w:lineRule="atLeast"/>
      <w:jc w:val="left"/>
      <w:outlineLvl w:val="5"/>
    </w:pPr>
    <w:rPr>
      <w:rFonts w:ascii="Arial" w:eastAsia="宋体" w:hAnsi="Arial" w:cs="Times New Roman"/>
      <w:i/>
      <w:spacing w:val="-5"/>
      <w:kern w:val="0"/>
      <w:sz w:val="22"/>
      <w:szCs w:val="20"/>
      <w:lang w:eastAsia="en-US"/>
    </w:rPr>
  </w:style>
  <w:style w:type="paragraph" w:styleId="7">
    <w:name w:val="heading 7"/>
    <w:basedOn w:val="a"/>
    <w:next w:val="a"/>
    <w:link w:val="7Char"/>
    <w:qFormat/>
    <w:rsid w:val="005C402C"/>
    <w:pPr>
      <w:widowControl/>
      <w:numPr>
        <w:ilvl w:val="6"/>
        <w:numId w:val="1"/>
      </w:numPr>
      <w:spacing w:before="240" w:after="60" w:line="240" w:lineRule="atLeast"/>
      <w:jc w:val="left"/>
      <w:outlineLvl w:val="6"/>
    </w:pPr>
    <w:rPr>
      <w:rFonts w:ascii="Arial" w:eastAsia="宋体" w:hAnsi="Arial" w:cs="Times New Roman"/>
      <w:spacing w:val="-5"/>
      <w:kern w:val="0"/>
      <w:sz w:val="20"/>
      <w:szCs w:val="20"/>
      <w:lang w:eastAsia="en-US"/>
    </w:rPr>
  </w:style>
  <w:style w:type="paragraph" w:styleId="8">
    <w:name w:val="heading 8"/>
    <w:basedOn w:val="a"/>
    <w:next w:val="a"/>
    <w:link w:val="8Char"/>
    <w:qFormat/>
    <w:rsid w:val="005C402C"/>
    <w:pPr>
      <w:widowControl/>
      <w:numPr>
        <w:ilvl w:val="7"/>
        <w:numId w:val="1"/>
      </w:numPr>
      <w:spacing w:before="240" w:after="60" w:line="240" w:lineRule="atLeast"/>
      <w:jc w:val="left"/>
      <w:outlineLvl w:val="7"/>
    </w:pPr>
    <w:rPr>
      <w:rFonts w:ascii="Arial" w:eastAsia="宋体" w:hAnsi="Arial" w:cs="Times New Roman"/>
      <w:i/>
      <w:spacing w:val="-5"/>
      <w:kern w:val="0"/>
      <w:sz w:val="20"/>
      <w:szCs w:val="20"/>
      <w:lang w:eastAsia="en-US"/>
    </w:rPr>
  </w:style>
  <w:style w:type="paragraph" w:styleId="9">
    <w:name w:val="heading 9"/>
    <w:basedOn w:val="a"/>
    <w:next w:val="a"/>
    <w:link w:val="9Char"/>
    <w:qFormat/>
    <w:rsid w:val="005C402C"/>
    <w:pPr>
      <w:widowControl/>
      <w:numPr>
        <w:ilvl w:val="8"/>
        <w:numId w:val="1"/>
      </w:numPr>
      <w:spacing w:before="240" w:after="60" w:line="240" w:lineRule="atLeast"/>
      <w:jc w:val="left"/>
      <w:outlineLvl w:val="8"/>
    </w:pPr>
    <w:rPr>
      <w:rFonts w:ascii="Arial" w:eastAsia="宋体" w:hAnsi="Arial" w:cs="Times New Roman"/>
      <w:i/>
      <w:spacing w:val="-5"/>
      <w:kern w:val="0"/>
      <w:sz w:val="18"/>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szCs w:val="18"/>
    </w:rPr>
  </w:style>
  <w:style w:type="paragraph" w:styleId="a4">
    <w:name w:val="header"/>
    <w:basedOn w:val="a"/>
    <w:link w:val="Char"/>
    <w:pPr>
      <w:tabs>
        <w:tab w:val="center" w:pos="4153"/>
        <w:tab w:val="right" w:pos="8306"/>
      </w:tabs>
    </w:pPr>
  </w:style>
  <w:style w:type="paragraph" w:customStyle="1" w:styleId="cjk">
    <w:name w:val="cjk"/>
    <w:basedOn w:val="a"/>
    <w:pPr>
      <w:widowControl/>
      <w:spacing w:before="100" w:beforeAutospacing="1" w:after="100" w:afterAutospacing="1"/>
      <w:jc w:val="left"/>
    </w:pPr>
    <w:rPr>
      <w:rFonts w:ascii="宋体" w:eastAsia="宋体" w:hAnsi="宋体" w:cs="宋体"/>
      <w:color w:val="000000"/>
      <w:kern w:val="0"/>
      <w:sz w:val="24"/>
      <w:szCs w:val="24"/>
    </w:rPr>
  </w:style>
  <w:style w:type="character" w:customStyle="1" w:styleId="font31">
    <w:name w:val="font31"/>
    <w:basedOn w:val="a0"/>
    <w:rPr>
      <w:rFonts w:ascii="宋体" w:eastAsia="宋体" w:hAnsi="宋体" w:cs="宋体" w:hint="eastAsia"/>
      <w:color w:val="000000"/>
      <w:sz w:val="20"/>
      <w:szCs w:val="20"/>
      <w:u w:val="none"/>
    </w:rPr>
  </w:style>
  <w:style w:type="character" w:customStyle="1" w:styleId="font21">
    <w:name w:val="font21"/>
    <w:basedOn w:val="a0"/>
    <w:rPr>
      <w:rFonts w:ascii="Times New Roman" w:hAnsi="Times New Roman" w:cs="Times New Roman" w:hint="default"/>
      <w:color w:val="000000"/>
      <w:sz w:val="20"/>
      <w:szCs w:val="20"/>
      <w:u w:val="none"/>
    </w:rPr>
  </w:style>
  <w:style w:type="character" w:customStyle="1" w:styleId="font11">
    <w:name w:val="font11"/>
    <w:basedOn w:val="a0"/>
    <w:rPr>
      <w:rFonts w:ascii="宋体" w:eastAsia="宋体" w:hAnsi="宋体" w:cs="宋体" w:hint="eastAsia"/>
      <w:color w:val="000000"/>
      <w:sz w:val="20"/>
      <w:szCs w:val="20"/>
      <w:u w:val="none"/>
    </w:rPr>
  </w:style>
  <w:style w:type="character" w:customStyle="1" w:styleId="font01">
    <w:name w:val="font01"/>
    <w:basedOn w:val="a0"/>
    <w:rPr>
      <w:rFonts w:ascii="Times New Roman" w:hAnsi="Times New Roman" w:cs="Times New Roman" w:hint="default"/>
      <w:color w:val="000000"/>
      <w:sz w:val="20"/>
      <w:szCs w:val="20"/>
      <w:u w:val="none"/>
    </w:rPr>
  </w:style>
  <w:style w:type="character" w:customStyle="1" w:styleId="1Char">
    <w:name w:val="标题 1 Char"/>
    <w:basedOn w:val="a0"/>
    <w:link w:val="1"/>
    <w:rsid w:val="005C402C"/>
    <w:rPr>
      <w:rFonts w:ascii="Arial" w:hAnsi="Arial"/>
      <w:b/>
      <w:spacing w:val="-5"/>
      <w:sz w:val="40"/>
      <w:lang w:eastAsia="en-US"/>
    </w:rPr>
  </w:style>
  <w:style w:type="character" w:customStyle="1" w:styleId="2Char">
    <w:name w:val="标题 2 Char"/>
    <w:basedOn w:val="a0"/>
    <w:link w:val="2"/>
    <w:rsid w:val="005C402C"/>
    <w:rPr>
      <w:rFonts w:ascii="Arial" w:hAnsi="Arial"/>
      <w:b/>
      <w:spacing w:val="-5"/>
      <w:sz w:val="32"/>
      <w:lang w:eastAsia="en-US"/>
    </w:rPr>
  </w:style>
  <w:style w:type="character" w:customStyle="1" w:styleId="3Char">
    <w:name w:val="标题 3 Char"/>
    <w:basedOn w:val="a0"/>
    <w:link w:val="3"/>
    <w:rsid w:val="005C402C"/>
    <w:rPr>
      <w:rFonts w:ascii="Arial" w:hAnsi="Arial"/>
      <w:b/>
      <w:i/>
      <w:spacing w:val="-5"/>
      <w:sz w:val="24"/>
      <w:lang w:eastAsia="en-US"/>
    </w:rPr>
  </w:style>
  <w:style w:type="character" w:customStyle="1" w:styleId="4Char">
    <w:name w:val="标题 4 Char"/>
    <w:basedOn w:val="a0"/>
    <w:link w:val="4"/>
    <w:rsid w:val="005C402C"/>
    <w:rPr>
      <w:b/>
      <w:i/>
      <w:spacing w:val="-5"/>
      <w:sz w:val="24"/>
      <w:lang w:eastAsia="en-US"/>
    </w:rPr>
  </w:style>
  <w:style w:type="character" w:customStyle="1" w:styleId="5Char">
    <w:name w:val="标题 5 Char"/>
    <w:basedOn w:val="a0"/>
    <w:link w:val="5"/>
    <w:rsid w:val="005C402C"/>
    <w:rPr>
      <w:rFonts w:ascii="Arial" w:hAnsi="Arial"/>
      <w:spacing w:val="-5"/>
      <w:sz w:val="22"/>
      <w:lang w:eastAsia="en-US"/>
    </w:rPr>
  </w:style>
  <w:style w:type="character" w:customStyle="1" w:styleId="6Char">
    <w:name w:val="标题 6 Char"/>
    <w:basedOn w:val="a0"/>
    <w:link w:val="6"/>
    <w:rsid w:val="005C402C"/>
    <w:rPr>
      <w:rFonts w:ascii="Arial" w:hAnsi="Arial"/>
      <w:i/>
      <w:spacing w:val="-5"/>
      <w:sz w:val="22"/>
      <w:lang w:eastAsia="en-US"/>
    </w:rPr>
  </w:style>
  <w:style w:type="character" w:customStyle="1" w:styleId="7Char">
    <w:name w:val="标题 7 Char"/>
    <w:basedOn w:val="a0"/>
    <w:link w:val="7"/>
    <w:rsid w:val="005C402C"/>
    <w:rPr>
      <w:rFonts w:ascii="Arial" w:hAnsi="Arial"/>
      <w:spacing w:val="-5"/>
      <w:lang w:eastAsia="en-US"/>
    </w:rPr>
  </w:style>
  <w:style w:type="character" w:customStyle="1" w:styleId="8Char">
    <w:name w:val="标题 8 Char"/>
    <w:basedOn w:val="a0"/>
    <w:link w:val="8"/>
    <w:rsid w:val="005C402C"/>
    <w:rPr>
      <w:rFonts w:ascii="Arial" w:hAnsi="Arial"/>
      <w:i/>
      <w:spacing w:val="-5"/>
      <w:lang w:eastAsia="en-US"/>
    </w:rPr>
  </w:style>
  <w:style w:type="character" w:customStyle="1" w:styleId="9Char">
    <w:name w:val="标题 9 Char"/>
    <w:basedOn w:val="a0"/>
    <w:link w:val="9"/>
    <w:rsid w:val="005C402C"/>
    <w:rPr>
      <w:rFonts w:ascii="Arial" w:hAnsi="Arial"/>
      <w:i/>
      <w:spacing w:val="-5"/>
      <w:sz w:val="18"/>
      <w:lang w:eastAsia="en-US"/>
    </w:rPr>
  </w:style>
  <w:style w:type="character" w:styleId="a5">
    <w:name w:val="annotation reference"/>
    <w:rsid w:val="005C402C"/>
    <w:rPr>
      <w:sz w:val="21"/>
      <w:szCs w:val="21"/>
    </w:rPr>
  </w:style>
  <w:style w:type="character" w:customStyle="1" w:styleId="Char0">
    <w:name w:val="标题 Char"/>
    <w:link w:val="a6"/>
    <w:rsid w:val="005C402C"/>
    <w:rPr>
      <w:rFonts w:ascii="Cambria" w:hAnsi="Cambria"/>
      <w:b/>
      <w:bCs/>
      <w:spacing w:val="-5"/>
      <w:sz w:val="32"/>
      <w:szCs w:val="32"/>
      <w:lang w:eastAsia="en-US"/>
    </w:rPr>
  </w:style>
  <w:style w:type="character" w:customStyle="1" w:styleId="Char1">
    <w:name w:val="批注主题 Char"/>
    <w:link w:val="a7"/>
    <w:rsid w:val="005C402C"/>
    <w:rPr>
      <w:rFonts w:ascii="Arial" w:hAnsi="Arial"/>
      <w:b/>
      <w:bCs/>
      <w:spacing w:val="-5"/>
      <w:lang w:eastAsia="en-US"/>
    </w:rPr>
  </w:style>
  <w:style w:type="character" w:customStyle="1" w:styleId="Char2">
    <w:name w:val="尾注文本 Char"/>
    <w:link w:val="a8"/>
    <w:rsid w:val="005C402C"/>
    <w:rPr>
      <w:rFonts w:ascii="Arial" w:hAnsi="Arial"/>
      <w:spacing w:val="-5"/>
      <w:lang w:eastAsia="en-US"/>
    </w:rPr>
  </w:style>
  <w:style w:type="character" w:styleId="a9">
    <w:name w:val="endnote reference"/>
    <w:rsid w:val="005C402C"/>
    <w:rPr>
      <w:vertAlign w:val="superscript"/>
    </w:rPr>
  </w:style>
  <w:style w:type="character" w:customStyle="1" w:styleId="Char3">
    <w:name w:val="文档结构图 Char"/>
    <w:link w:val="aa"/>
    <w:rsid w:val="005C402C"/>
    <w:rPr>
      <w:rFonts w:ascii="宋体" w:hAnsi="Arial"/>
      <w:spacing w:val="-5"/>
      <w:sz w:val="18"/>
      <w:szCs w:val="18"/>
      <w:lang w:eastAsia="en-US"/>
    </w:rPr>
  </w:style>
  <w:style w:type="character" w:styleId="ab">
    <w:name w:val="Hyperlink"/>
    <w:uiPriority w:val="99"/>
    <w:rsid w:val="005C402C"/>
    <w:rPr>
      <w:color w:val="0000FF"/>
      <w:u w:val="single"/>
    </w:rPr>
  </w:style>
  <w:style w:type="character" w:customStyle="1" w:styleId="Char4">
    <w:name w:val="批注框文本 Char"/>
    <w:link w:val="ac"/>
    <w:rsid w:val="005C402C"/>
    <w:rPr>
      <w:rFonts w:ascii="Arial" w:hAnsi="Arial"/>
      <w:spacing w:val="-5"/>
      <w:sz w:val="18"/>
      <w:szCs w:val="18"/>
      <w:lang w:eastAsia="en-US"/>
    </w:rPr>
  </w:style>
  <w:style w:type="character" w:customStyle="1" w:styleId="Char5">
    <w:name w:val="批注文字 Char"/>
    <w:link w:val="ad"/>
    <w:rsid w:val="005C402C"/>
    <w:rPr>
      <w:rFonts w:ascii="Arial" w:hAnsi="Arial"/>
      <w:spacing w:val="-5"/>
      <w:lang w:eastAsia="en-US"/>
    </w:rPr>
  </w:style>
  <w:style w:type="character" w:customStyle="1" w:styleId="Char">
    <w:name w:val="页眉 Char"/>
    <w:link w:val="a4"/>
    <w:rsid w:val="005C402C"/>
    <w:rPr>
      <w:rFonts w:asciiTheme="minorHAnsi" w:eastAsiaTheme="minorEastAsia" w:hAnsiTheme="minorHAnsi" w:cstheme="minorBidi"/>
      <w:kern w:val="2"/>
      <w:sz w:val="21"/>
      <w:szCs w:val="22"/>
    </w:rPr>
  </w:style>
  <w:style w:type="paragraph" w:styleId="ac">
    <w:name w:val="Balloon Text"/>
    <w:basedOn w:val="a"/>
    <w:link w:val="Char4"/>
    <w:rsid w:val="005C402C"/>
    <w:pPr>
      <w:widowControl/>
      <w:ind w:left="1080"/>
      <w:jc w:val="left"/>
    </w:pPr>
    <w:rPr>
      <w:rFonts w:ascii="Arial" w:eastAsia="宋体" w:hAnsi="Arial" w:cs="Times New Roman"/>
      <w:spacing w:val="-5"/>
      <w:kern w:val="0"/>
      <w:sz w:val="18"/>
      <w:szCs w:val="18"/>
      <w:lang w:eastAsia="en-US"/>
    </w:rPr>
  </w:style>
  <w:style w:type="character" w:customStyle="1" w:styleId="Char10">
    <w:name w:val="批注框文本 Char1"/>
    <w:basedOn w:val="a0"/>
    <w:rsid w:val="005C402C"/>
    <w:rPr>
      <w:rFonts w:asciiTheme="minorHAnsi" w:eastAsiaTheme="minorEastAsia" w:hAnsiTheme="minorHAnsi" w:cstheme="minorBidi"/>
      <w:kern w:val="2"/>
      <w:sz w:val="18"/>
      <w:szCs w:val="18"/>
    </w:rPr>
  </w:style>
  <w:style w:type="paragraph" w:styleId="a8">
    <w:name w:val="endnote text"/>
    <w:basedOn w:val="a"/>
    <w:link w:val="Char2"/>
    <w:rsid w:val="005C402C"/>
    <w:pPr>
      <w:widowControl/>
      <w:snapToGrid w:val="0"/>
      <w:spacing w:after="240" w:line="240" w:lineRule="atLeast"/>
      <w:ind w:left="1080"/>
      <w:jc w:val="left"/>
    </w:pPr>
    <w:rPr>
      <w:rFonts w:ascii="Arial" w:eastAsia="宋体" w:hAnsi="Arial" w:cs="Times New Roman"/>
      <w:spacing w:val="-5"/>
      <w:kern w:val="0"/>
      <w:sz w:val="20"/>
      <w:szCs w:val="20"/>
      <w:lang w:eastAsia="en-US"/>
    </w:rPr>
  </w:style>
  <w:style w:type="character" w:customStyle="1" w:styleId="Char11">
    <w:name w:val="尾注文本 Char1"/>
    <w:basedOn w:val="a0"/>
    <w:rsid w:val="005C402C"/>
    <w:rPr>
      <w:rFonts w:asciiTheme="minorHAnsi" w:eastAsiaTheme="minorEastAsia" w:hAnsiTheme="minorHAnsi" w:cstheme="minorBidi"/>
      <w:kern w:val="2"/>
      <w:sz w:val="21"/>
      <w:szCs w:val="22"/>
    </w:rPr>
  </w:style>
  <w:style w:type="paragraph" w:styleId="ad">
    <w:name w:val="annotation text"/>
    <w:basedOn w:val="a"/>
    <w:link w:val="Char5"/>
    <w:rsid w:val="005C402C"/>
    <w:pPr>
      <w:widowControl/>
      <w:spacing w:after="240" w:line="240" w:lineRule="atLeast"/>
      <w:ind w:left="1080"/>
      <w:jc w:val="left"/>
    </w:pPr>
    <w:rPr>
      <w:rFonts w:ascii="Arial" w:eastAsia="宋体" w:hAnsi="Arial" w:cs="Times New Roman"/>
      <w:spacing w:val="-5"/>
      <w:kern w:val="0"/>
      <w:sz w:val="20"/>
      <w:szCs w:val="20"/>
      <w:lang w:eastAsia="en-US"/>
    </w:rPr>
  </w:style>
  <w:style w:type="character" w:customStyle="1" w:styleId="Char12">
    <w:name w:val="批注文字 Char1"/>
    <w:basedOn w:val="a0"/>
    <w:rsid w:val="005C402C"/>
    <w:rPr>
      <w:rFonts w:asciiTheme="minorHAnsi" w:eastAsiaTheme="minorEastAsia" w:hAnsiTheme="minorHAnsi" w:cstheme="minorBidi"/>
      <w:kern w:val="2"/>
      <w:sz w:val="21"/>
      <w:szCs w:val="22"/>
    </w:rPr>
  </w:style>
  <w:style w:type="paragraph" w:styleId="aa">
    <w:name w:val="Document Map"/>
    <w:basedOn w:val="a"/>
    <w:link w:val="Char3"/>
    <w:rsid w:val="005C402C"/>
    <w:pPr>
      <w:widowControl/>
      <w:spacing w:after="240" w:line="240" w:lineRule="atLeast"/>
      <w:ind w:left="1080"/>
      <w:jc w:val="left"/>
    </w:pPr>
    <w:rPr>
      <w:rFonts w:ascii="宋体" w:eastAsia="宋体" w:hAnsi="Arial" w:cs="Times New Roman"/>
      <w:spacing w:val="-5"/>
      <w:kern w:val="0"/>
      <w:sz w:val="18"/>
      <w:szCs w:val="18"/>
      <w:lang w:eastAsia="en-US"/>
    </w:rPr>
  </w:style>
  <w:style w:type="character" w:customStyle="1" w:styleId="Char13">
    <w:name w:val="文档结构图 Char1"/>
    <w:basedOn w:val="a0"/>
    <w:rsid w:val="005C402C"/>
    <w:rPr>
      <w:rFonts w:ascii="Microsoft YaHei UI" w:eastAsia="Microsoft YaHei UI" w:hAnsiTheme="minorHAnsi" w:cstheme="minorBidi"/>
      <w:kern w:val="2"/>
      <w:sz w:val="18"/>
      <w:szCs w:val="18"/>
    </w:rPr>
  </w:style>
  <w:style w:type="paragraph" w:styleId="a7">
    <w:name w:val="annotation subject"/>
    <w:basedOn w:val="ad"/>
    <w:next w:val="ad"/>
    <w:link w:val="Char1"/>
    <w:rsid w:val="005C402C"/>
    <w:rPr>
      <w:b/>
      <w:bCs/>
    </w:rPr>
  </w:style>
  <w:style w:type="character" w:customStyle="1" w:styleId="Char14">
    <w:name w:val="批注主题 Char1"/>
    <w:basedOn w:val="Char12"/>
    <w:rsid w:val="005C402C"/>
    <w:rPr>
      <w:rFonts w:asciiTheme="minorHAnsi" w:eastAsiaTheme="minorEastAsia" w:hAnsiTheme="minorHAnsi" w:cstheme="minorBidi"/>
      <w:b/>
      <w:bCs/>
      <w:kern w:val="2"/>
      <w:sz w:val="21"/>
      <w:szCs w:val="22"/>
    </w:rPr>
  </w:style>
  <w:style w:type="paragraph" w:styleId="10">
    <w:name w:val="toc 1"/>
    <w:basedOn w:val="a"/>
    <w:next w:val="a"/>
    <w:uiPriority w:val="39"/>
    <w:rsid w:val="005C402C"/>
    <w:pPr>
      <w:widowControl/>
      <w:tabs>
        <w:tab w:val="left" w:pos="420"/>
        <w:tab w:val="right" w:leader="dot" w:pos="9016"/>
      </w:tabs>
      <w:spacing w:after="240" w:line="240" w:lineRule="atLeast"/>
      <w:jc w:val="left"/>
    </w:pPr>
    <w:rPr>
      <w:rFonts w:ascii="华文仿宋" w:eastAsia="仿宋_GB2312" w:hAnsi="华文仿宋" w:cs="Times New Roman"/>
      <w:b/>
      <w:bCs/>
      <w:spacing w:val="-5"/>
      <w:kern w:val="0"/>
      <w:sz w:val="28"/>
      <w:szCs w:val="28"/>
    </w:rPr>
  </w:style>
  <w:style w:type="paragraph" w:styleId="ae">
    <w:name w:val="Normal (Web)"/>
    <w:basedOn w:val="a"/>
    <w:rsid w:val="005C402C"/>
    <w:pPr>
      <w:widowControl/>
      <w:spacing w:before="102" w:after="102" w:line="1099" w:lineRule="atLeast"/>
      <w:ind w:firstLine="419"/>
      <w:jc w:val="left"/>
      <w:textAlignment w:val="baseline"/>
    </w:pPr>
    <w:rPr>
      <w:rFonts w:ascii="Times New Roman" w:eastAsia="宋体" w:hAnsi="Times New Roman" w:cs="Times New Roman"/>
      <w:color w:val="000000"/>
      <w:kern w:val="0"/>
      <w:sz w:val="24"/>
      <w:szCs w:val="20"/>
      <w:u w:color="000000"/>
    </w:rPr>
  </w:style>
  <w:style w:type="paragraph" w:styleId="a6">
    <w:name w:val="Title"/>
    <w:basedOn w:val="a"/>
    <w:next w:val="a"/>
    <w:link w:val="Char0"/>
    <w:qFormat/>
    <w:rsid w:val="005C402C"/>
    <w:pPr>
      <w:widowControl/>
      <w:spacing w:before="240" w:after="60" w:line="240" w:lineRule="atLeast"/>
      <w:ind w:left="1080"/>
      <w:jc w:val="center"/>
      <w:outlineLvl w:val="0"/>
    </w:pPr>
    <w:rPr>
      <w:rFonts w:ascii="Cambria" w:eastAsia="宋体" w:hAnsi="Cambria" w:cs="Times New Roman"/>
      <w:b/>
      <w:bCs/>
      <w:spacing w:val="-5"/>
      <w:kern w:val="0"/>
      <w:sz w:val="32"/>
      <w:szCs w:val="32"/>
      <w:lang w:eastAsia="en-US"/>
    </w:rPr>
  </w:style>
  <w:style w:type="character" w:customStyle="1" w:styleId="Char15">
    <w:name w:val="标题 Char1"/>
    <w:basedOn w:val="a0"/>
    <w:rsid w:val="005C402C"/>
    <w:rPr>
      <w:rFonts w:asciiTheme="majorHAnsi" w:hAnsiTheme="majorHAnsi" w:cstheme="majorBidi"/>
      <w:b/>
      <w:bCs/>
      <w:kern w:val="2"/>
      <w:sz w:val="32"/>
      <w:szCs w:val="32"/>
    </w:rPr>
  </w:style>
  <w:style w:type="paragraph" w:customStyle="1" w:styleId="-11">
    <w:name w:val="彩色底纹 - 着色 11"/>
    <w:uiPriority w:val="99"/>
    <w:unhideWhenUsed/>
    <w:rsid w:val="005C402C"/>
    <w:rPr>
      <w:rFonts w:ascii="Arial" w:hAnsi="Arial"/>
      <w:spacing w:val="-5"/>
      <w:lang w:eastAsia="en-US"/>
    </w:rPr>
  </w:style>
  <w:style w:type="paragraph" w:customStyle="1" w:styleId="-110">
    <w:name w:val="彩色列表 - 着色 11"/>
    <w:basedOn w:val="a"/>
    <w:qFormat/>
    <w:rsid w:val="005C402C"/>
    <w:pPr>
      <w:widowControl/>
      <w:spacing w:after="240" w:line="240" w:lineRule="atLeast"/>
      <w:ind w:left="1080" w:firstLineChars="200" w:firstLine="420"/>
      <w:jc w:val="left"/>
    </w:pPr>
    <w:rPr>
      <w:rFonts w:ascii="Arial" w:eastAsia="宋体" w:hAnsi="Arial" w:cs="Times New Roman"/>
      <w:spacing w:val="-5"/>
      <w:kern w:val="0"/>
      <w:sz w:val="20"/>
      <w:szCs w:val="20"/>
      <w:lang w:eastAsia="en-US"/>
    </w:rPr>
  </w:style>
  <w:style w:type="paragraph" w:customStyle="1" w:styleId="CharCharCharCharCharCharCharCharChar">
    <w:name w:val="Char Char Char Char Char Char Char Char Char"/>
    <w:basedOn w:val="a"/>
    <w:rsid w:val="005C402C"/>
    <w:pPr>
      <w:tabs>
        <w:tab w:val="left" w:pos="1320"/>
      </w:tabs>
      <w:ind w:left="170" w:hanging="170"/>
    </w:pPr>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80</Pages>
  <Words>6027</Words>
  <Characters>34355</Characters>
  <Application>Microsoft Office Word</Application>
  <DocSecurity>0</DocSecurity>
  <Lines>286</Lines>
  <Paragraphs>80</Paragraphs>
  <ScaleCrop>false</ScaleCrop>
  <Company>Sky123.Org</Company>
  <LinksUpToDate>false</LinksUpToDate>
  <CharactersWithSpaces>40302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dc:creator>
  <cp:lastModifiedBy>王克</cp:lastModifiedBy>
  <cp:revision>2</cp:revision>
  <dcterms:created xsi:type="dcterms:W3CDTF">2014-10-29T12:08:00Z</dcterms:created>
  <dcterms:modified xsi:type="dcterms:W3CDTF">2020-03-02T08:43:00Z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