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重庆农村商业银行江渝财富“天添金”2020年第22期公募封闭式净值型理财产品2021年第一季度投资管理报告</w:t>
      </w:r>
    </w:p>
    <w:p>
      <w:pPr>
        <w:jc w:val="cente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江渝财富“天添金”2020年第22期公募封闭式净值型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12020022GFJ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C1126720000043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984,273,000.00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2020年3月13日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 xml:space="preserve">2021年12月1日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346010100102604733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报告期</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ascii="宋体" w:hAnsi="宋体" w:eastAsia="宋体" w:cs="宋体"/>
                <w:color w:val="000000"/>
                <w:kern w:val="0"/>
                <w:sz w:val="18"/>
                <w:szCs w:val="18"/>
                <w:lang w:bidi="ar"/>
              </w:rPr>
              <w:t>021年</w:t>
            </w:r>
            <w:r>
              <w:rPr>
                <w:rFonts w:hint="eastAsia" w:ascii="宋体" w:hAnsi="宋体" w:eastAsia="宋体" w:cs="宋体"/>
                <w:color w:val="000000"/>
                <w:kern w:val="0"/>
                <w:sz w:val="18"/>
                <w:szCs w:val="18"/>
                <w:lang w:bidi="ar"/>
              </w:rPr>
              <w:t>1月1日-</w:t>
            </w:r>
            <w:r>
              <w:rPr>
                <w:rFonts w:ascii="宋体" w:hAnsi="宋体" w:eastAsia="宋体" w:cs="宋体"/>
                <w:color w:val="000000"/>
                <w:kern w:val="0"/>
                <w:sz w:val="18"/>
                <w:szCs w:val="18"/>
                <w:lang w:bidi="ar"/>
              </w:rPr>
              <w:t>2021年</w:t>
            </w:r>
            <w:r>
              <w:rPr>
                <w:rFonts w:hint="eastAsia" w:ascii="宋体" w:hAnsi="宋体" w:eastAsia="宋体" w:cs="宋体"/>
                <w:color w:val="000000"/>
                <w:kern w:val="0"/>
                <w:sz w:val="18"/>
                <w:szCs w:val="18"/>
                <w:lang w:bidi="ar"/>
              </w:rPr>
              <w:t>3月3</w:t>
            </w:r>
            <w:r>
              <w:rPr>
                <w:rFonts w:ascii="宋体" w:hAnsi="宋体" w:eastAsia="宋体" w:cs="宋体"/>
                <w:color w:val="000000"/>
                <w:kern w:val="0"/>
                <w:sz w:val="18"/>
                <w:szCs w:val="18"/>
                <w:lang w:bidi="ar"/>
              </w:rPr>
              <w:t>1日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 xml:space="preserve">1,027,912,305.18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1.0443</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Theme="majorEastAsia" w:hAnsiTheme="majorEastAsia" w:eastAsiaTheme="majorEastAsia" w:cstheme="majorEastAsia"/>
                <w:color w:val="000000"/>
                <w:kern w:val="0"/>
                <w:sz w:val="18"/>
                <w:szCs w:val="18"/>
              </w:rPr>
              <w:t>1,038,086,367.52</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Theme="majorEastAsia" w:hAnsiTheme="majorEastAsia" w:eastAsiaTheme="majorEastAsia" w:cstheme="majorEastAsia"/>
                <w:color w:val="000000"/>
                <w:kern w:val="0"/>
                <w:sz w:val="18"/>
                <w:szCs w:val="18"/>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Theme="majorEastAsia" w:hAnsiTheme="majorEastAsia" w:eastAsiaTheme="majorEastAsia" w:cstheme="majorEastAsia"/>
                <w:color w:val="000000"/>
                <w:kern w:val="0"/>
                <w:sz w:val="18"/>
                <w:szCs w:val="18"/>
              </w:rPr>
              <w:t>55,748,819.39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Theme="majorEastAsia" w:hAnsiTheme="majorEastAsia" w:eastAsiaTheme="majorEastAsia" w:cstheme="majorEastAsia"/>
                <w:color w:val="000000"/>
                <w:kern w:val="0"/>
                <w:sz w:val="18"/>
                <w:szCs w:val="18"/>
              </w:rPr>
              <w:t>5.37</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Theme="majorEastAsia" w:hAnsiTheme="majorEastAsia" w:eastAsiaTheme="majorEastAsia" w:cstheme="majorEastAsia"/>
                <w:color w:val="000000"/>
                <w:sz w:val="18"/>
                <w:szCs w:val="18"/>
              </w:rPr>
              <w:t>969,413,951.58</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Theme="majorEastAsia" w:hAnsiTheme="majorEastAsia" w:eastAsiaTheme="majorEastAsia" w:cstheme="majorEastAsia"/>
                <w:color w:val="000000"/>
                <w:sz w:val="18"/>
                <w:szCs w:val="18"/>
              </w:rPr>
              <w:t>93.38</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Theme="majorEastAsia" w:hAnsiTheme="majorEastAsia" w:eastAsiaTheme="majorEastAsia" w:cstheme="majorEastAsia"/>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Theme="majorEastAsia" w:hAnsiTheme="majorEastAsia" w:eastAsiaTheme="majorEastAsia" w:cstheme="majorEastAsia"/>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Theme="majorEastAsia" w:hAnsiTheme="majorEastAsia" w:eastAsiaTheme="majorEastAsia" w:cstheme="majorEastAsia"/>
                <w:color w:val="000000"/>
                <w:sz w:val="18"/>
                <w:szCs w:val="18"/>
              </w:rPr>
              <w:t>12,923,596.55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eastAsiaTheme="majorEastAsia"/>
                <w:color w:val="000000"/>
                <w:sz w:val="18"/>
                <w:szCs w:val="18"/>
              </w:rPr>
            </w:pPr>
            <w:r>
              <w:rPr>
                <w:rFonts w:hint="eastAsia" w:asciiTheme="majorEastAsia" w:hAnsiTheme="majorEastAsia" w:eastAsiaTheme="majorEastAsia" w:cstheme="majorEastAsia"/>
                <w:color w:val="000000"/>
                <w:sz w:val="18"/>
                <w:szCs w:val="18"/>
              </w:rPr>
              <w:t>1.25</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Theme="majorEastAsia" w:hAnsiTheme="majorEastAsia" w:eastAsiaTheme="majorEastAsia" w:cstheme="majorEastAsia"/>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Theme="majorEastAsia" w:hAnsiTheme="majorEastAsia" w:eastAsiaTheme="majorEastAsia" w:cstheme="majorEastAsia"/>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Microsoft JhengHei" w:hAnsi="Microsoft JhengHei" w:eastAsia="Microsoft JhengHei" w:cs="Microsoft JhengHei"/>
                <w:b/>
                <w:color w:val="000000"/>
                <w:sz w:val="18"/>
                <w:szCs w:val="18"/>
              </w:rPr>
            </w:pPr>
            <w:r>
              <w:rPr>
                <w:rFonts w:hint="eastAsia" w:asciiTheme="majorEastAsia" w:hAnsiTheme="majorEastAsia" w:eastAsiaTheme="majorEastAsia" w:cstheme="majorEastAsia"/>
                <w:bCs/>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Theme="majorEastAsia" w:hAnsiTheme="majorEastAsia" w:eastAsiaTheme="majorEastAsia" w:cstheme="majorEastAsia"/>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Theme="majorEastAsia" w:hAnsiTheme="majorEastAsia" w:eastAsiaTheme="majorEastAsia" w:cstheme="majorEastAsia"/>
                <w:color w:val="000000"/>
                <w:kern w:val="0"/>
                <w:sz w:val="18"/>
                <w:szCs w:val="18"/>
              </w:rPr>
              <w:t>1,038,086,367.52</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Theme="majorEastAsia" w:hAnsiTheme="majorEastAsia" w:eastAsiaTheme="majorEastAsia" w:cstheme="majorEastAsia"/>
                <w:color w:val="000000"/>
                <w:kern w:val="0"/>
                <w:sz w:val="18"/>
                <w:szCs w:val="18"/>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招联消费同业借款</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300,495,833.33</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20豫周口投资ZR001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157,790,383.56</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18渝重庆大晟公司ZR001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101,229,863.01</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20渝南州水务ZR001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100,039,452.05</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20渝万盛投资ZR002</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75,015,205.48</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17株高01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53,748,328.18</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20鲁济南高新ZR003</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52,546,575.34</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山东通达同业借款</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50,093,333.33</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20南通高新01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47,181,267.12</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17川兴阳投资ZR001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44,530,093.15</w:t>
            </w:r>
          </w:p>
        </w:tc>
        <w:tc>
          <w:tcPr>
            <w:tcW w:w="16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4.29</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263" w:type="dxa"/>
        <w:tblInd w:w="-99" w:type="dxa"/>
        <w:tblLayout w:type="fixed"/>
        <w:tblCellMar>
          <w:top w:w="0" w:type="dxa"/>
          <w:left w:w="0" w:type="dxa"/>
          <w:bottom w:w="0" w:type="dxa"/>
          <w:right w:w="0" w:type="dxa"/>
        </w:tblCellMar>
      </w:tblPr>
      <w:tblGrid>
        <w:gridCol w:w="517"/>
        <w:gridCol w:w="1370"/>
        <w:gridCol w:w="1352"/>
        <w:gridCol w:w="1152"/>
        <w:gridCol w:w="848"/>
        <w:gridCol w:w="1144"/>
        <w:gridCol w:w="1072"/>
        <w:gridCol w:w="808"/>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3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3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808" w:type="dxa"/>
            <w:tcBorders>
              <w:top w:val="single" w:color="auto" w:sz="4" w:space="0"/>
              <w:left w:val="single" w:color="auto" w:sz="4" w:space="0"/>
              <w:bottom w:val="single" w:color="auto" w:sz="4" w:space="0"/>
              <w:right w:val="single" w:color="auto" w:sz="4" w:space="0"/>
            </w:tcBorders>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13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山东通达金融租赁有限公司</w:t>
            </w:r>
          </w:p>
        </w:tc>
        <w:tc>
          <w:tcPr>
            <w:tcW w:w="13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山东通达同业借款</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244</w:t>
            </w:r>
          </w:p>
        </w:tc>
        <w:tc>
          <w:tcPr>
            <w:tcW w:w="8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w:t>
            </w:r>
            <w:r>
              <w:rPr>
                <w:rFonts w:ascii="宋体" w:hAnsi="宋体" w:eastAsia="宋体" w:cs="宋体"/>
                <w:color w:val="000000"/>
                <w:kern w:val="0"/>
                <w:sz w:val="18"/>
                <w:szCs w:val="18"/>
              </w:rPr>
              <w:t>80</w:t>
            </w:r>
          </w:p>
        </w:tc>
        <w:tc>
          <w:tcPr>
            <w:tcW w:w="11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sz w:val="18"/>
                <w:szCs w:val="18"/>
              </w:rPr>
            </w:pPr>
            <w:r>
              <w:rPr>
                <w:rFonts w:hint="eastAsia"/>
                <w:sz w:val="18"/>
                <w:szCs w:val="18"/>
              </w:rPr>
              <w:t>利随</w:t>
            </w:r>
          </w:p>
          <w:p>
            <w:pPr>
              <w:widowControl/>
              <w:jc w:val="center"/>
              <w:textAlignment w:val="bottom"/>
              <w:rPr>
                <w:rFonts w:ascii="宋体" w:hAnsi="宋体" w:eastAsia="宋体" w:cs="宋体"/>
                <w:color w:val="000000"/>
                <w:kern w:val="0"/>
                <w:sz w:val="18"/>
                <w:szCs w:val="18"/>
              </w:rPr>
            </w:pPr>
            <w:r>
              <w:rPr>
                <w:rFonts w:hint="eastAsia"/>
                <w:sz w:val="18"/>
                <w:szCs w:val="18"/>
              </w:rPr>
              <w:t>本清</w:t>
            </w: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同业借款</w:t>
            </w:r>
          </w:p>
        </w:tc>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无异常</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13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招联消费金融有限公司</w:t>
            </w:r>
          </w:p>
        </w:tc>
        <w:tc>
          <w:tcPr>
            <w:tcW w:w="13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招联消费同业借款</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244</w:t>
            </w:r>
          </w:p>
        </w:tc>
        <w:tc>
          <w:tcPr>
            <w:tcW w:w="8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4.25</w:t>
            </w:r>
          </w:p>
        </w:tc>
        <w:tc>
          <w:tcPr>
            <w:tcW w:w="11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sz w:val="18"/>
                <w:szCs w:val="18"/>
              </w:rPr>
            </w:pPr>
            <w:r>
              <w:rPr>
                <w:rFonts w:hint="eastAsia"/>
                <w:sz w:val="18"/>
                <w:szCs w:val="18"/>
              </w:rPr>
              <w:t>利随</w:t>
            </w:r>
          </w:p>
          <w:p>
            <w:pPr>
              <w:widowControl/>
              <w:jc w:val="center"/>
              <w:textAlignment w:val="bottom"/>
              <w:rPr>
                <w:rFonts w:ascii="宋体" w:hAnsi="宋体" w:eastAsia="宋体" w:cs="宋体"/>
                <w:color w:val="000000"/>
                <w:kern w:val="0"/>
                <w:sz w:val="18"/>
                <w:szCs w:val="18"/>
              </w:rPr>
            </w:pPr>
            <w:r>
              <w:rPr>
                <w:rFonts w:hint="eastAsia"/>
                <w:sz w:val="18"/>
                <w:szCs w:val="18"/>
              </w:rPr>
              <w:t>本清</w:t>
            </w: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同业借款</w:t>
            </w:r>
          </w:p>
        </w:tc>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bidi="ar"/>
              </w:rPr>
              <w:t>/</w:t>
            </w:r>
          </w:p>
        </w:tc>
        <w:tc>
          <w:tcPr>
            <w:tcW w:w="1276" w:type="dxa"/>
          </w:tcPr>
          <w:p>
            <w:pPr>
              <w:jc w:val="center"/>
            </w:pPr>
            <w:r>
              <w:rPr>
                <w:rFonts w:hint="eastAsia" w:ascii="宋体" w:hAnsi="宋体" w:eastAsia="宋体" w:cs="宋体"/>
                <w:color w:val="000000"/>
                <w:kern w:val="0"/>
                <w:sz w:val="18"/>
                <w:szCs w:val="18"/>
                <w:lang w:bidi="ar"/>
              </w:rPr>
              <w:t>/</w:t>
            </w:r>
          </w:p>
        </w:tc>
        <w:tc>
          <w:tcPr>
            <w:tcW w:w="1275" w:type="dxa"/>
          </w:tcPr>
          <w:p>
            <w:pPr>
              <w:jc w:val="center"/>
            </w:pPr>
            <w:r>
              <w:rPr>
                <w:rFonts w:hint="eastAsia" w:ascii="宋体" w:hAnsi="宋体" w:eastAsia="宋体" w:cs="宋体"/>
                <w:color w:val="000000"/>
                <w:kern w:val="0"/>
                <w:sz w:val="18"/>
                <w:szCs w:val="18"/>
                <w:lang w:bidi="ar"/>
              </w:rPr>
              <w:t>/</w:t>
            </w:r>
          </w:p>
        </w:tc>
        <w:tc>
          <w:tcPr>
            <w:tcW w:w="1245" w:type="dxa"/>
          </w:tcPr>
          <w:p>
            <w:pPr>
              <w:jc w:val="center"/>
            </w:pPr>
            <w:r>
              <w:rPr>
                <w:rFonts w:hint="eastAsia" w:ascii="宋体" w:hAnsi="宋体" w:eastAsia="宋体" w:cs="宋体"/>
                <w:color w:val="000000"/>
                <w:kern w:val="0"/>
                <w:sz w:val="18"/>
                <w:szCs w:val="18"/>
                <w:lang w:bidi="ar"/>
              </w:rPr>
              <w:t>/</w:t>
            </w:r>
          </w:p>
        </w:tc>
        <w:tc>
          <w:tcPr>
            <w:tcW w:w="1154" w:type="dxa"/>
          </w:tcPr>
          <w:p>
            <w:pPr>
              <w:jc w:val="center"/>
            </w:pPr>
            <w:r>
              <w:rPr>
                <w:rFonts w:hint="eastAsia" w:ascii="宋体" w:hAnsi="宋体" w:eastAsia="宋体" w:cs="宋体"/>
                <w:color w:val="000000"/>
                <w:kern w:val="0"/>
                <w:sz w:val="18"/>
                <w:szCs w:val="18"/>
                <w:lang w:bidi="ar"/>
              </w:rPr>
              <w:t>/</w:t>
            </w:r>
          </w:p>
        </w:tc>
        <w:tc>
          <w:tcPr>
            <w:tcW w:w="1052" w:type="dxa"/>
          </w:tcPr>
          <w:p>
            <w:pPr>
              <w:jc w:val="center"/>
            </w:pPr>
            <w:r>
              <w:rPr>
                <w:rFonts w:hint="eastAsia" w:ascii="宋体" w:hAnsi="宋体" w:eastAsia="宋体" w:cs="宋体"/>
                <w:color w:val="000000"/>
                <w:kern w:val="0"/>
                <w:sz w:val="18"/>
                <w:szCs w:val="18"/>
                <w:lang w:bidi="ar"/>
              </w:rPr>
              <w:t>/</w:t>
            </w:r>
          </w:p>
        </w:tc>
        <w:tc>
          <w:tcPr>
            <w:tcW w:w="1516"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276"/>
        <w:gridCol w:w="141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417"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bidi="ar"/>
              </w:rPr>
              <w:t>/</w:t>
            </w:r>
          </w:p>
        </w:tc>
        <w:tc>
          <w:tcPr>
            <w:tcW w:w="1403" w:type="dxa"/>
          </w:tcPr>
          <w:p>
            <w:pPr>
              <w:jc w:val="center"/>
            </w:pPr>
            <w:r>
              <w:rPr>
                <w:rFonts w:hint="eastAsia" w:ascii="宋体" w:hAnsi="宋体" w:eastAsia="宋体" w:cs="宋体"/>
                <w:color w:val="000000"/>
                <w:kern w:val="0"/>
                <w:sz w:val="18"/>
                <w:szCs w:val="18"/>
                <w:lang w:bidi="ar"/>
              </w:rPr>
              <w:t>/</w:t>
            </w:r>
          </w:p>
        </w:tc>
        <w:tc>
          <w:tcPr>
            <w:tcW w:w="1985" w:type="dxa"/>
          </w:tcPr>
          <w:p>
            <w:pPr>
              <w:jc w:val="center"/>
            </w:pPr>
            <w:r>
              <w:rPr>
                <w:rFonts w:hint="eastAsia" w:ascii="宋体" w:hAnsi="宋体" w:eastAsia="宋体" w:cs="宋体"/>
                <w:color w:val="000000"/>
                <w:kern w:val="0"/>
                <w:sz w:val="18"/>
                <w:szCs w:val="18"/>
                <w:lang w:bidi="ar"/>
              </w:rPr>
              <w:t>/</w:t>
            </w:r>
          </w:p>
        </w:tc>
        <w:tc>
          <w:tcPr>
            <w:tcW w:w="1276" w:type="dxa"/>
          </w:tcPr>
          <w:p>
            <w:pPr>
              <w:jc w:val="center"/>
            </w:pPr>
            <w:r>
              <w:rPr>
                <w:rFonts w:hint="eastAsia" w:ascii="宋体" w:hAnsi="宋体" w:eastAsia="宋体" w:cs="宋体"/>
                <w:color w:val="000000"/>
                <w:kern w:val="0"/>
                <w:sz w:val="18"/>
                <w:szCs w:val="18"/>
                <w:lang w:bidi="ar"/>
              </w:rPr>
              <w:t>/</w:t>
            </w:r>
          </w:p>
        </w:tc>
        <w:tc>
          <w:tcPr>
            <w:tcW w:w="1417" w:type="dxa"/>
          </w:tcPr>
          <w:p>
            <w:pPr>
              <w:jc w:val="center"/>
            </w:pPr>
            <w:r>
              <w:rPr>
                <w:rFonts w:hint="eastAsia" w:ascii="宋体" w:hAnsi="宋体" w:eastAsia="宋体" w:cs="宋体"/>
                <w:color w:val="000000"/>
                <w:kern w:val="0"/>
                <w:sz w:val="18"/>
                <w:szCs w:val="18"/>
                <w:lang w:bidi="ar"/>
              </w:rPr>
              <w:t>/</w:t>
            </w:r>
          </w:p>
        </w:tc>
        <w:tc>
          <w:tcPr>
            <w:tcW w:w="1560"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2021年4月</w:t>
      </w:r>
      <w:r>
        <w:rPr>
          <w:rFonts w:hint="eastAsia" w:asciiTheme="minorEastAsia" w:hAnsiTheme="minorEastAsia"/>
          <w:szCs w:val="21"/>
          <w:lang w:val="en-US" w:eastAsia="zh-CN"/>
        </w:rPr>
        <w:t>22</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27AF"/>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A40B9"/>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2DC0"/>
    <w:rsid w:val="00464004"/>
    <w:rsid w:val="004665A3"/>
    <w:rsid w:val="0046691B"/>
    <w:rsid w:val="00470845"/>
    <w:rsid w:val="00470ABA"/>
    <w:rsid w:val="00471CFD"/>
    <w:rsid w:val="00472E27"/>
    <w:rsid w:val="00476183"/>
    <w:rsid w:val="00496024"/>
    <w:rsid w:val="00497327"/>
    <w:rsid w:val="004A05EB"/>
    <w:rsid w:val="004A141C"/>
    <w:rsid w:val="004A410B"/>
    <w:rsid w:val="004B39C9"/>
    <w:rsid w:val="004C10D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67B1E"/>
    <w:rsid w:val="00580EA0"/>
    <w:rsid w:val="00582987"/>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5971"/>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17B0C"/>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431B"/>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2842"/>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100"/>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24E59"/>
    <w:rsid w:val="00D30A8E"/>
    <w:rsid w:val="00D41D15"/>
    <w:rsid w:val="00D4319E"/>
    <w:rsid w:val="00D43F74"/>
    <w:rsid w:val="00D5135B"/>
    <w:rsid w:val="00D525CA"/>
    <w:rsid w:val="00D539C5"/>
    <w:rsid w:val="00D5597A"/>
    <w:rsid w:val="00D55FB6"/>
    <w:rsid w:val="00D6059C"/>
    <w:rsid w:val="00D60E55"/>
    <w:rsid w:val="00D634BF"/>
    <w:rsid w:val="00D641A6"/>
    <w:rsid w:val="00D7213D"/>
    <w:rsid w:val="00D73CEF"/>
    <w:rsid w:val="00D74AEE"/>
    <w:rsid w:val="00D776AD"/>
    <w:rsid w:val="00D77A1E"/>
    <w:rsid w:val="00D84556"/>
    <w:rsid w:val="00DA2582"/>
    <w:rsid w:val="00DA61F6"/>
    <w:rsid w:val="00DA7F02"/>
    <w:rsid w:val="00DB0B60"/>
    <w:rsid w:val="00DC2BA0"/>
    <w:rsid w:val="00DC5557"/>
    <w:rsid w:val="00DE1C6B"/>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67E15"/>
    <w:rsid w:val="00F743B0"/>
    <w:rsid w:val="00F80CC5"/>
    <w:rsid w:val="00F834C9"/>
    <w:rsid w:val="00F93105"/>
    <w:rsid w:val="00FA209D"/>
    <w:rsid w:val="00FB3591"/>
    <w:rsid w:val="00FC1C4F"/>
    <w:rsid w:val="00FC2CA6"/>
    <w:rsid w:val="00FC2CD8"/>
    <w:rsid w:val="00FC4994"/>
    <w:rsid w:val="00FD0741"/>
    <w:rsid w:val="00FE0A1A"/>
    <w:rsid w:val="00FE2121"/>
    <w:rsid w:val="00FE3B42"/>
    <w:rsid w:val="00FE3BDA"/>
    <w:rsid w:val="00FF5916"/>
    <w:rsid w:val="01BB69DA"/>
    <w:rsid w:val="046451CE"/>
    <w:rsid w:val="04B44209"/>
    <w:rsid w:val="04CD7D64"/>
    <w:rsid w:val="05C34B7D"/>
    <w:rsid w:val="07C16A08"/>
    <w:rsid w:val="081F1FB9"/>
    <w:rsid w:val="08613963"/>
    <w:rsid w:val="08BA008A"/>
    <w:rsid w:val="09563133"/>
    <w:rsid w:val="099A2105"/>
    <w:rsid w:val="0FB525EE"/>
    <w:rsid w:val="0FC53136"/>
    <w:rsid w:val="109116D6"/>
    <w:rsid w:val="12931977"/>
    <w:rsid w:val="12BD274E"/>
    <w:rsid w:val="13814A1B"/>
    <w:rsid w:val="145B1C45"/>
    <w:rsid w:val="154F13DA"/>
    <w:rsid w:val="16344310"/>
    <w:rsid w:val="168610F5"/>
    <w:rsid w:val="182721AC"/>
    <w:rsid w:val="18FB1CF2"/>
    <w:rsid w:val="197D5ABF"/>
    <w:rsid w:val="19A54864"/>
    <w:rsid w:val="1AB60040"/>
    <w:rsid w:val="1BDE0CAD"/>
    <w:rsid w:val="1C760FBE"/>
    <w:rsid w:val="1D3F0AD5"/>
    <w:rsid w:val="1D742825"/>
    <w:rsid w:val="1FF23D36"/>
    <w:rsid w:val="21ED676D"/>
    <w:rsid w:val="22A30C64"/>
    <w:rsid w:val="22C40D15"/>
    <w:rsid w:val="2350060C"/>
    <w:rsid w:val="23774DFB"/>
    <w:rsid w:val="25E358EE"/>
    <w:rsid w:val="265C67DD"/>
    <w:rsid w:val="26970B26"/>
    <w:rsid w:val="27BD45FF"/>
    <w:rsid w:val="28FE4662"/>
    <w:rsid w:val="29361C2B"/>
    <w:rsid w:val="29774466"/>
    <w:rsid w:val="2A0F4201"/>
    <w:rsid w:val="2AEB1E5A"/>
    <w:rsid w:val="2B8625BE"/>
    <w:rsid w:val="2D2B448E"/>
    <w:rsid w:val="2E936978"/>
    <w:rsid w:val="2FF34915"/>
    <w:rsid w:val="31721B70"/>
    <w:rsid w:val="3185531A"/>
    <w:rsid w:val="328522BE"/>
    <w:rsid w:val="331E4C1A"/>
    <w:rsid w:val="335601C3"/>
    <w:rsid w:val="335D0BC0"/>
    <w:rsid w:val="33D7321D"/>
    <w:rsid w:val="33F54821"/>
    <w:rsid w:val="35DB54D6"/>
    <w:rsid w:val="37B114AF"/>
    <w:rsid w:val="383E199E"/>
    <w:rsid w:val="399F28EF"/>
    <w:rsid w:val="39BA6599"/>
    <w:rsid w:val="3A422C5A"/>
    <w:rsid w:val="3D860B97"/>
    <w:rsid w:val="422B2661"/>
    <w:rsid w:val="426224A6"/>
    <w:rsid w:val="42982300"/>
    <w:rsid w:val="43250476"/>
    <w:rsid w:val="44307945"/>
    <w:rsid w:val="458B7839"/>
    <w:rsid w:val="45B31BF8"/>
    <w:rsid w:val="470414F2"/>
    <w:rsid w:val="472D2614"/>
    <w:rsid w:val="4897220E"/>
    <w:rsid w:val="48C804F4"/>
    <w:rsid w:val="49343EE8"/>
    <w:rsid w:val="49364B27"/>
    <w:rsid w:val="499E1B50"/>
    <w:rsid w:val="4B1E5A56"/>
    <w:rsid w:val="4C665F1D"/>
    <w:rsid w:val="4CC0510F"/>
    <w:rsid w:val="4E6C5390"/>
    <w:rsid w:val="4F05414C"/>
    <w:rsid w:val="4F1E44D1"/>
    <w:rsid w:val="4FCA0624"/>
    <w:rsid w:val="518264D8"/>
    <w:rsid w:val="51EC6135"/>
    <w:rsid w:val="572F2943"/>
    <w:rsid w:val="57D83C46"/>
    <w:rsid w:val="586214C2"/>
    <w:rsid w:val="590A25B0"/>
    <w:rsid w:val="5A622306"/>
    <w:rsid w:val="5AB01723"/>
    <w:rsid w:val="5B544793"/>
    <w:rsid w:val="5D5E2859"/>
    <w:rsid w:val="621F0476"/>
    <w:rsid w:val="62212804"/>
    <w:rsid w:val="6230351A"/>
    <w:rsid w:val="63D37DC1"/>
    <w:rsid w:val="671D7CC1"/>
    <w:rsid w:val="687C70C4"/>
    <w:rsid w:val="69074462"/>
    <w:rsid w:val="695E0C31"/>
    <w:rsid w:val="6C9B0C01"/>
    <w:rsid w:val="6D5B3725"/>
    <w:rsid w:val="6E546A74"/>
    <w:rsid w:val="6FA67F07"/>
    <w:rsid w:val="72122435"/>
    <w:rsid w:val="73322D14"/>
    <w:rsid w:val="75736568"/>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3CBC70-6815-4BEE-84E7-4331E5C4129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373</Words>
  <Characters>2128</Characters>
  <Lines>17</Lines>
  <Paragraphs>4</Paragraphs>
  <TotalTime>6</TotalTime>
  <ScaleCrop>false</ScaleCrop>
  <LinksUpToDate>false</LinksUpToDate>
  <CharactersWithSpaces>2497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2021-04-23T01:21:13Z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BBFCD89B1742442C9BB44B07E1F9059A</vt:lpwstr>
  </property>
</Properties>
</file>